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F6AB1" w:rsidRPr="007F6AB1" w:rsidTr="00B708B5">
        <w:tc>
          <w:tcPr>
            <w:tcW w:w="9355" w:type="dxa"/>
          </w:tcPr>
          <w:p w:rsidR="007F6AB1" w:rsidRPr="007F6AB1" w:rsidRDefault="007F6AB1" w:rsidP="007F6AB1">
            <w:pPr>
              <w:tabs>
                <w:tab w:val="left" w:pos="5432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7F6AB1"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7F3F1C" wp14:editId="1EA4C48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1006690" cy="106680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ARN Logo (new version)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9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AB1">
              <w:rPr>
                <w:rFonts w:cstheme="minorHAnsi"/>
                <w:b/>
                <w:sz w:val="24"/>
                <w:szCs w:val="24"/>
                <w:lang w:val="en-GB"/>
              </w:rPr>
              <w:t xml:space="preserve">   </w:t>
            </w:r>
          </w:p>
          <w:p w:rsidR="007F6AB1" w:rsidRPr="007F6AB1" w:rsidRDefault="003278ED" w:rsidP="007F6AB1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hyperlink r:id="rId7" w:history="1">
              <w:r w:rsidR="007F6AB1" w:rsidRPr="007F6AB1">
                <w:rPr>
                  <w:rStyle w:val="Hyperlink"/>
                  <w:rFonts w:cstheme="minorHAnsi"/>
                  <w:b/>
                  <w:sz w:val="24"/>
                  <w:szCs w:val="24"/>
                  <w:lang w:val="en-GB"/>
                </w:rPr>
                <w:t>WorldWide Antimalarial Resistance Network</w:t>
              </w:r>
            </w:hyperlink>
            <w:r w:rsidR="007F6AB1" w:rsidRPr="007F6AB1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7F6AB1" w:rsidRPr="007F6AB1" w:rsidRDefault="003278ED" w:rsidP="007F6AB1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hyperlink r:id="rId8" w:history="1">
              <w:proofErr w:type="spellStart"/>
              <w:r w:rsidR="007F6AB1" w:rsidRPr="007F6AB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Pharmacometric</w:t>
              </w:r>
              <w:proofErr w:type="spellEnd"/>
              <w:r w:rsidR="007F6AB1" w:rsidRPr="007F6AB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 xml:space="preserve"> Scientific Group</w:t>
              </w:r>
            </w:hyperlink>
          </w:p>
          <w:p w:rsidR="007F6AB1" w:rsidRPr="007F6AB1" w:rsidRDefault="007F6AB1" w:rsidP="007F6AB1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F6AB1">
              <w:rPr>
                <w:rFonts w:cstheme="minorHAnsi"/>
                <w:sz w:val="24"/>
                <w:szCs w:val="24"/>
                <w:lang w:val="en-GB"/>
              </w:rPr>
              <w:t>Version 1. Created 10 April 2019.</w:t>
            </w:r>
          </w:p>
          <w:p w:rsidR="007F6AB1" w:rsidRPr="007F6AB1" w:rsidRDefault="007F6AB1" w:rsidP="007F6AB1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7F6AB1" w:rsidRPr="007F6AB1" w:rsidRDefault="007F6AB1" w:rsidP="007F6AB1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7F6AB1" w:rsidRPr="007F6AB1" w:rsidTr="00B708B5">
        <w:tc>
          <w:tcPr>
            <w:tcW w:w="9355" w:type="dxa"/>
          </w:tcPr>
          <w:p w:rsidR="007F6AB1" w:rsidRPr="007F6AB1" w:rsidRDefault="007F6AB1" w:rsidP="007F6AB1">
            <w:pPr>
              <w:tabs>
                <w:tab w:val="left" w:pos="5432"/>
              </w:tabs>
              <w:spacing w:line="240" w:lineRule="auto"/>
              <w:rPr>
                <w:rFonts w:cstheme="minorHAnsi"/>
                <w:iCs/>
                <w:sz w:val="24"/>
                <w:szCs w:val="24"/>
                <w:lang w:val="en-ZA"/>
              </w:rPr>
            </w:pPr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 xml:space="preserve">WWARN is committed to supporting efficient and quality data collection and analysis for antimalarial drug research. As such we are sharing the NONMEM code used for this publication. NONMEM is a computer program, </w:t>
            </w:r>
            <w:proofErr w:type="spellStart"/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>NONlinear</w:t>
            </w:r>
            <w:proofErr w:type="spellEnd"/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 xml:space="preserve"> Mixed Effects </w:t>
            </w:r>
            <w:proofErr w:type="spellStart"/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>Modeling</w:t>
            </w:r>
            <w:proofErr w:type="spellEnd"/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 xml:space="preserve">, used by WWARN’s </w:t>
            </w:r>
            <w:hyperlink r:id="rId9" w:history="1">
              <w:proofErr w:type="spellStart"/>
              <w:r w:rsidRPr="00C5701A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>Pharmacometric</w:t>
              </w:r>
              <w:proofErr w:type="spellEnd"/>
              <w:r w:rsidRPr="00C5701A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 xml:space="preserve"> Scientific Group</w:t>
              </w:r>
            </w:hyperlink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 xml:space="preserve">. </w:t>
            </w:r>
          </w:p>
          <w:p w:rsidR="007F6AB1" w:rsidRPr="007F6AB1" w:rsidRDefault="007F6AB1" w:rsidP="007F6AB1">
            <w:pPr>
              <w:tabs>
                <w:tab w:val="left" w:pos="5432"/>
              </w:tabs>
              <w:spacing w:line="240" w:lineRule="auto"/>
              <w:rPr>
                <w:rFonts w:cstheme="minorHAnsi"/>
                <w:iCs/>
                <w:sz w:val="24"/>
                <w:szCs w:val="24"/>
                <w:lang w:val="en-ZA"/>
              </w:rPr>
            </w:pPr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 xml:space="preserve">For further information, please contact </w:t>
            </w:r>
            <w:hyperlink r:id="rId10" w:history="1">
              <w:r w:rsidRPr="007F6AB1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>info@wwarn.org</w:t>
              </w:r>
            </w:hyperlink>
            <w:r w:rsidRPr="007F6AB1">
              <w:rPr>
                <w:rFonts w:cstheme="minorHAnsi"/>
                <w:iCs/>
                <w:sz w:val="24"/>
                <w:szCs w:val="24"/>
                <w:lang w:val="en-ZA"/>
              </w:rPr>
              <w:t xml:space="preserve"> </w:t>
            </w:r>
          </w:p>
        </w:tc>
      </w:tr>
      <w:tr w:rsidR="007F6AB1" w:rsidRPr="007F6AB1" w:rsidTr="00B708B5">
        <w:tc>
          <w:tcPr>
            <w:tcW w:w="9355" w:type="dxa"/>
          </w:tcPr>
          <w:p w:rsidR="0036137A" w:rsidRDefault="0036137A" w:rsidP="0036137A">
            <w:pPr>
              <w:spacing w:line="240" w:lineRule="auto"/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Please use the following r</w:t>
            </w:r>
            <w:r w:rsidR="007F6AB1" w:rsidRPr="007F6AB1">
              <w:rPr>
                <w:rFonts w:cstheme="minorHAnsi"/>
                <w:b/>
                <w:sz w:val="24"/>
                <w:szCs w:val="24"/>
                <w:lang w:val="en-GB"/>
              </w:rPr>
              <w:t xml:space="preserve">eference: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7F6AB1" w:rsidRPr="007F6AB1" w:rsidRDefault="0036137A" w:rsidP="007F6AB1">
            <w:pPr>
              <w:spacing w:line="0" w:lineRule="atLeast"/>
              <w:rPr>
                <w:rFonts w:cstheme="minorHAnsi"/>
              </w:rPr>
            </w:pPr>
            <w:r w:rsidRPr="001F0493">
              <w:rPr>
                <w:rFonts w:cstheme="minorHAnsi"/>
                <w:lang w:val="en-GB"/>
              </w:rPr>
              <w:t>WWARN NONMEM</w:t>
            </w:r>
            <w:r w:rsidR="008338BE">
              <w:rPr>
                <w:rFonts w:cstheme="minorHAnsi"/>
                <w:lang w:val="en-GB"/>
              </w:rPr>
              <w:t xml:space="preserve"> </w:t>
            </w:r>
            <w:r w:rsidR="008338BE" w:rsidRPr="004E3771">
              <w:rPr>
                <w:rFonts w:cstheme="minorHAnsi"/>
                <w:b/>
                <w:color w:val="FF0000"/>
                <w:lang w:val="en-GB"/>
              </w:rPr>
              <w:t>Code 1</w:t>
            </w:r>
            <w:r w:rsidRPr="001F0493">
              <w:rPr>
                <w:rFonts w:cstheme="minorHAnsi"/>
                <w:lang w:val="en-GB"/>
              </w:rPr>
              <w:t xml:space="preserve"> file used to develop:</w:t>
            </w:r>
            <w:r w:rsidRPr="00FF5788">
              <w:rPr>
                <w:rFonts w:cstheme="minorHAnsi"/>
                <w:lang w:val="en-GB"/>
              </w:rPr>
              <w:t xml:space="preserve"> </w:t>
            </w:r>
            <w:hyperlink r:id="rId11" w:history="1">
              <w:r w:rsidR="007F6AB1" w:rsidRPr="007F6AB1">
                <w:rPr>
                  <w:rStyle w:val="Hyperlink"/>
                  <w:rFonts w:cstheme="minorHAnsi"/>
                </w:rPr>
                <w:t>Artemether-lumefantrine dosing for malaria treatment in young children and pregnant women: a pharmacokinetic-pharmacodynamic meta-analysis.</w:t>
              </w:r>
            </w:hyperlink>
            <w:r w:rsidR="007F6AB1" w:rsidRPr="007F6AB1">
              <w:rPr>
                <w:rFonts w:cstheme="minorHAnsi"/>
              </w:rPr>
              <w:t xml:space="preserve"> </w:t>
            </w:r>
          </w:p>
          <w:p w:rsidR="007F6AB1" w:rsidRPr="007F6AB1" w:rsidRDefault="007F6AB1" w:rsidP="007F6AB1">
            <w:pPr>
              <w:spacing w:line="0" w:lineRule="atLeast"/>
              <w:rPr>
                <w:rFonts w:cstheme="minorHAnsi"/>
              </w:rPr>
            </w:pPr>
            <w:r w:rsidRPr="007F6AB1">
              <w:rPr>
                <w:rFonts w:cstheme="minorHAnsi"/>
              </w:rPr>
              <w:t xml:space="preserve">F. Kloprogge, L. Workman, S. Borrmann, M. Tékété, G. Lefèvre, K. Hamed, P. Piola, J. Ursing, P.E. Kofoed, A. Mårtensson, B. Ngasala, A. Björkman, M. Ashton, S.F. Hietala, F. Aweeka, S. Parikh, L. Mwai, T.M.E. Davis, H. Karunajeewa, S. Salman, F. Checchi, C. Fogg, P.N. Newton, M. Mayxay, P. Deloron, J.F. Faucher, F. Nosten, E.A. Ashley, R. McGready, M. van Vugt, S. Proux, R.N. Price, J. Karbwang, F. Ezzet, R. Bakshi,  K. Stepniewska, N.J. White, P.J. Guerin, K.I. Barnes, J. Tarning. </w:t>
            </w:r>
          </w:p>
          <w:p w:rsidR="007F6AB1" w:rsidRDefault="007F6AB1" w:rsidP="007F6AB1">
            <w:pPr>
              <w:spacing w:line="0" w:lineRule="atLeast"/>
              <w:rPr>
                <w:rFonts w:cstheme="minorHAnsi"/>
              </w:rPr>
            </w:pPr>
            <w:r w:rsidRPr="007F6AB1">
              <w:rPr>
                <w:rFonts w:cstheme="minorHAnsi"/>
                <w:i/>
                <w:iCs/>
              </w:rPr>
              <w:t>PLoS Medicine</w:t>
            </w:r>
            <w:r w:rsidRPr="007F6AB1">
              <w:rPr>
                <w:rFonts w:cstheme="minorHAnsi"/>
              </w:rPr>
              <w:t>. 2018 Jun 12;15(6):e1002579.</w:t>
            </w:r>
          </w:p>
          <w:p w:rsidR="007F6AB1" w:rsidRPr="007F6AB1" w:rsidRDefault="007F6AB1" w:rsidP="007F6AB1">
            <w:pPr>
              <w:spacing w:line="0" w:lineRule="atLeast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val="en-GB"/>
              </w:rPr>
              <w:t>Read</w:t>
            </w:r>
            <w:r w:rsidRPr="00FF5788">
              <w:rPr>
                <w:rFonts w:cstheme="minorHAnsi"/>
                <w:lang w:val="en-GB"/>
              </w:rPr>
              <w:t xml:space="preserve"> the full summary of the </w:t>
            </w:r>
            <w:hyperlink r:id="rId12" w:history="1">
              <w:r w:rsidRPr="007F6AB1">
                <w:rPr>
                  <w:rStyle w:val="Hyperlink"/>
                  <w:rFonts w:cstheme="minorHAnsi"/>
                </w:rPr>
                <w:t>Antimalarial – Lumefantrine POP/PK Study Group</w:t>
              </w:r>
            </w:hyperlink>
          </w:p>
        </w:tc>
      </w:tr>
      <w:tr w:rsidR="007F6AB1" w:rsidRPr="007F6AB1" w:rsidTr="00B708B5">
        <w:tc>
          <w:tcPr>
            <w:tcW w:w="9355" w:type="dxa"/>
          </w:tcPr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$INPUT     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ID </w:t>
            </w:r>
            <w:r w:rsidRPr="007F6AB1">
              <w:rPr>
                <w:rFonts w:cstheme="minorHAnsi"/>
                <w:sz w:val="20"/>
                <w:szCs w:val="20"/>
              </w:rPr>
              <w:tab/>
              <w:t>; Patient ID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TIME 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Time of sample 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DV </w:t>
            </w:r>
            <w:r w:rsidRPr="007F6AB1">
              <w:rPr>
                <w:rFonts w:cstheme="minorHAnsi"/>
                <w:sz w:val="20"/>
                <w:szCs w:val="20"/>
              </w:rPr>
              <w:tab/>
              <w:t>; Dependent variable (natural logarithm of observed concentrations, nmol/L)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WT 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Body weight (covariate) 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EVID 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Event ID record 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MDV </w:t>
            </w:r>
            <w:r w:rsidRPr="007F6AB1">
              <w:rPr>
                <w:rFonts w:cstheme="minorHAnsi"/>
                <w:sz w:val="20"/>
                <w:szCs w:val="20"/>
              </w:rPr>
              <w:tab/>
              <w:t>; Missing dependent variable (1=missing)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AMT </w:t>
            </w:r>
            <w:r w:rsidRPr="007F6AB1">
              <w:rPr>
                <w:rFonts w:cstheme="minorHAnsi"/>
                <w:sz w:val="20"/>
                <w:szCs w:val="20"/>
              </w:rPr>
              <w:tab/>
              <w:t>; Dose amount (μmol)</w:t>
            </w:r>
          </w:p>
          <w:p w:rsidR="007F6AB1" w:rsidRPr="007F6AB1" w:rsidRDefault="007F6AB1" w:rsidP="007F6AB1">
            <w:pPr>
              <w:tabs>
                <w:tab w:val="left" w:pos="2070"/>
                <w:tab w:val="left" w:pos="243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CMT 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Compartment (1=dose, 2=lumefantrine) 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lastRenderedPageBreak/>
              <w:t xml:space="preserve">           PREG 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Pregnancy (covariate; 0=non-pregnant, 1=pregnant) 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LNPC </w:t>
            </w:r>
            <w:r w:rsidRPr="007F6AB1">
              <w:rPr>
                <w:rFonts w:cstheme="minorHAnsi"/>
                <w:sz w:val="20"/>
                <w:szCs w:val="20"/>
              </w:rPr>
              <w:tab/>
              <w:t>; Parasite count (covariate; logarithm of parasite count)</w:t>
            </w:r>
          </w:p>
          <w:p w:rsidR="007F6AB1" w:rsidRPr="007F6AB1" w:rsidRDefault="007F6AB1" w:rsidP="007F6AB1">
            <w:pPr>
              <w:tabs>
                <w:tab w:val="left" w:pos="2070"/>
              </w:tabs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DOSE </w:t>
            </w:r>
            <w:r w:rsidRPr="007F6AB1">
              <w:rPr>
                <w:rFonts w:cstheme="minorHAnsi"/>
                <w:sz w:val="20"/>
                <w:szCs w:val="20"/>
              </w:rPr>
              <w:tab/>
              <w:t>; Lumefantrine dosage (covariate; mg/kg)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$DATA  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dataset.csv  IGNORE=#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$SUBROUTINE  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ADVAN4 TRANS1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$PK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;------------------------------------Dose covariate----------------------------------------------------------------------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D50 = THETA(7) </w:t>
            </w:r>
            <w:r w:rsidRPr="007F6AB1">
              <w:rPr>
                <w:rFonts w:cstheme="minorHAnsi"/>
                <w:sz w:val="20"/>
                <w:szCs w:val="20"/>
              </w:rPr>
              <w:tab/>
            </w:r>
            <w:r w:rsidRPr="007F6AB1">
              <w:rPr>
                <w:rFonts w:cstheme="minorHAnsi"/>
                <w:sz w:val="20"/>
                <w:szCs w:val="20"/>
              </w:rPr>
              <w:tab/>
              <w:t>; Dose (mg/kg) to reach 50% of full saturation effect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DS = 1 - (DOSE/(DOSE+D50) ) </w:t>
            </w:r>
            <w:r w:rsidRPr="007F6AB1">
              <w:rPr>
                <w:rFonts w:cstheme="minorHAnsi"/>
                <w:sz w:val="20"/>
                <w:szCs w:val="20"/>
              </w:rPr>
              <w:tab/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Dose </w:t>
            </w:r>
            <w:r w:rsidRPr="007F6AB1">
              <w:rPr>
                <w:rFonts w:cstheme="minorHAnsi"/>
                <w:sz w:val="20"/>
                <w:szCs w:val="20"/>
                <w:lang w:val="en-US"/>
              </w:rPr>
              <w:t xml:space="preserve">(mg/kg) </w:t>
            </w:r>
            <w:r w:rsidRPr="007F6AB1">
              <w:rPr>
                <w:rFonts w:cstheme="minorHAnsi"/>
                <w:sz w:val="20"/>
                <w:szCs w:val="20"/>
              </w:rPr>
              <w:t xml:space="preserve">covariate relationship </w:t>
            </w:r>
          </w:p>
          <w:p w:rsidR="007F6AB1" w:rsidRPr="007F6AB1" w:rsidRDefault="007F6AB1" w:rsidP="007F6AB1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 Pregnancy covariate ----------------------------------------------------------------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PREGNANCY = (1 + THETA(8) * PREG)</w:t>
            </w:r>
            <w:r w:rsidRPr="007F6AB1">
              <w:rPr>
                <w:rFonts w:cstheme="minorHAnsi"/>
                <w:sz w:val="20"/>
                <w:szCs w:val="20"/>
              </w:rPr>
              <w:tab/>
              <w:t>; Linear covariate relationship for pregnancy</w:t>
            </w:r>
          </w:p>
          <w:p w:rsidR="007F6AB1" w:rsidRPr="007F6AB1" w:rsidRDefault="007F6AB1" w:rsidP="007F6AB1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7F6AB1" w:rsidRPr="007F6AB1" w:rsidRDefault="007F6AB1" w:rsidP="007F6AB1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;------------------------------------Parasite biomass covariate-------------------------------------------------------------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PARASITE = ((LNPC /4.20)**THETA(9))</w:t>
            </w:r>
            <w:r w:rsidRPr="007F6AB1">
              <w:rPr>
                <w:rFonts w:cstheme="minorHAnsi"/>
                <w:sz w:val="20"/>
                <w:szCs w:val="20"/>
              </w:rPr>
              <w:tab/>
              <w:t>; Power covariate relationship for parasite biomass</w:t>
            </w:r>
          </w:p>
          <w:p w:rsidR="007F6AB1" w:rsidRPr="007F6AB1" w:rsidRDefault="007F6AB1" w:rsidP="007F6AB1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5559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TVCL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= THETA(1) * ((WT/42)**0.75) </w:t>
            </w:r>
            <w:r w:rsidRPr="007F6AB1">
              <w:rPr>
                <w:rFonts w:cstheme="minorHAnsi"/>
                <w:sz w:val="20"/>
                <w:szCs w:val="20"/>
              </w:rPr>
              <w:tab/>
              <w:t>; Population clearance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CL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= TVCL * EXP(ETA(1)) 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Individual clearance 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lastRenderedPageBreak/>
              <w:t xml:space="preserve">           TVV</w:t>
            </w:r>
            <w:r w:rsidRPr="007F6AB1">
              <w:rPr>
                <w:rFonts w:cstheme="minorHAnsi"/>
                <w:sz w:val="20"/>
                <w:szCs w:val="20"/>
              </w:rPr>
              <w:tab/>
              <w:t>= THETA(2) * ((WT/42)**1)</w:t>
            </w:r>
            <w:r w:rsidRPr="007F6AB1">
              <w:rPr>
                <w:rFonts w:cstheme="minorHAnsi"/>
                <w:sz w:val="20"/>
                <w:szCs w:val="20"/>
              </w:rPr>
              <w:tab/>
              <w:t>; Population central volume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V</w:t>
            </w:r>
            <w:r w:rsidRPr="007F6AB1">
              <w:rPr>
                <w:rFonts w:cstheme="minorHAnsi"/>
                <w:sz w:val="20"/>
                <w:szCs w:val="20"/>
              </w:rPr>
              <w:tab/>
              <w:t>= TVV * EXP(ETA(2))</w:t>
            </w:r>
            <w:r w:rsidRPr="007F6AB1">
              <w:rPr>
                <w:rFonts w:cstheme="minorHAnsi"/>
                <w:sz w:val="20"/>
                <w:szCs w:val="20"/>
              </w:rPr>
              <w:tab/>
              <w:t>; Individual central volume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TVQ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= THETA(3) * ((WT/42)**0.75) </w:t>
            </w:r>
            <w:r w:rsidRPr="007F6AB1">
              <w:rPr>
                <w:rFonts w:cstheme="minorHAnsi"/>
                <w:sz w:val="20"/>
                <w:szCs w:val="20"/>
              </w:rPr>
              <w:tab/>
              <w:t>; Population inter-compartment clearance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Q</w:t>
            </w:r>
            <w:r w:rsidRPr="007F6AB1">
              <w:rPr>
                <w:rFonts w:cstheme="minorHAnsi"/>
                <w:sz w:val="20"/>
                <w:szCs w:val="20"/>
              </w:rPr>
              <w:tab/>
              <w:t>= TVQ * EXP(ETA(3))</w:t>
            </w:r>
            <w:r w:rsidRPr="007F6AB1">
              <w:rPr>
                <w:rFonts w:cstheme="minorHAnsi"/>
                <w:sz w:val="20"/>
                <w:szCs w:val="20"/>
              </w:rPr>
              <w:tab/>
              <w:t>; Individual inter-compartment clearance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TVVP</w:t>
            </w:r>
            <w:r w:rsidRPr="007F6AB1">
              <w:rPr>
                <w:rFonts w:cstheme="minorHAnsi"/>
                <w:sz w:val="20"/>
                <w:szCs w:val="20"/>
              </w:rPr>
              <w:tab/>
              <w:t>= THETA(4) * ((WT/42)**1)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Population peripheral volume 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VP</w:t>
            </w:r>
            <w:r w:rsidRPr="007F6AB1">
              <w:rPr>
                <w:rFonts w:cstheme="minorHAnsi"/>
                <w:sz w:val="20"/>
                <w:szCs w:val="20"/>
              </w:rPr>
              <w:tab/>
              <w:t>= TVVP * EXP(ETA(4))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Individual peripheral volume 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TVKA</w:t>
            </w:r>
            <w:r w:rsidRPr="007F6AB1">
              <w:rPr>
                <w:rFonts w:cstheme="minorHAnsi"/>
                <w:sz w:val="20"/>
                <w:szCs w:val="20"/>
              </w:rPr>
              <w:tab/>
              <w:t>= THETA(5) * PREGNANCY</w:t>
            </w:r>
            <w:r w:rsidRPr="007F6AB1">
              <w:rPr>
                <w:rFonts w:cstheme="minorHAnsi"/>
                <w:sz w:val="20"/>
                <w:szCs w:val="20"/>
              </w:rPr>
              <w:tab/>
              <w:t>; Population absorption rate constant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KA</w:t>
            </w:r>
            <w:r w:rsidRPr="007F6AB1">
              <w:rPr>
                <w:rFonts w:cstheme="minorHAnsi"/>
                <w:sz w:val="20"/>
                <w:szCs w:val="20"/>
              </w:rPr>
              <w:tab/>
              <w:t>= TVKA * EXP(ETA(5))</w:t>
            </w:r>
            <w:r w:rsidRPr="007F6AB1">
              <w:rPr>
                <w:rFonts w:cstheme="minorHAnsi"/>
                <w:sz w:val="20"/>
                <w:szCs w:val="20"/>
              </w:rPr>
              <w:tab/>
              <w:t>; Individual absorption rate constant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TVF1</w:t>
            </w:r>
            <w:r w:rsidRPr="007F6AB1">
              <w:rPr>
                <w:rFonts w:cstheme="minorHAnsi"/>
                <w:sz w:val="20"/>
                <w:szCs w:val="20"/>
              </w:rPr>
              <w:tab/>
              <w:t>= THETA(6) * DS * PARASITE</w:t>
            </w:r>
            <w:r w:rsidRPr="007F6AB1">
              <w:rPr>
                <w:rFonts w:cstheme="minorHAnsi"/>
                <w:sz w:val="20"/>
                <w:szCs w:val="20"/>
              </w:rPr>
              <w:tab/>
              <w:t>; Population relative bioavailability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BXPAR </w:t>
            </w:r>
            <w:r w:rsidRPr="007F6AB1">
              <w:rPr>
                <w:rFonts w:cstheme="minorHAnsi"/>
                <w:sz w:val="20"/>
                <w:szCs w:val="20"/>
              </w:rPr>
              <w:tab/>
              <w:t>= THETA(10)</w:t>
            </w:r>
            <w:r w:rsidRPr="007F6AB1">
              <w:rPr>
                <w:rFonts w:cstheme="minorHAnsi"/>
                <w:sz w:val="20"/>
                <w:szCs w:val="20"/>
              </w:rPr>
              <w:tab/>
              <w:t>; Box-Cox shape parameter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PHI</w:t>
            </w:r>
            <w:r w:rsidRPr="007F6AB1">
              <w:rPr>
                <w:rFonts w:cstheme="minorHAnsi"/>
                <w:sz w:val="20"/>
                <w:szCs w:val="20"/>
              </w:rPr>
              <w:tab/>
              <w:t>= EXP(ETA(6))</w:t>
            </w:r>
            <w:r w:rsidRPr="007F6AB1">
              <w:rPr>
                <w:rFonts w:cstheme="minorHAnsi"/>
                <w:sz w:val="20"/>
                <w:szCs w:val="20"/>
              </w:rPr>
              <w:tab/>
              <w:t>; Exponential of IIV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ETATR </w:t>
            </w:r>
            <w:r w:rsidRPr="007F6AB1">
              <w:rPr>
                <w:rFonts w:cstheme="minorHAnsi"/>
                <w:sz w:val="20"/>
                <w:szCs w:val="20"/>
              </w:rPr>
              <w:tab/>
              <w:t>= (PHI**BXPAR-1)/BXPAR</w:t>
            </w:r>
            <w:r w:rsidRPr="007F6AB1">
              <w:rPr>
                <w:rFonts w:cstheme="minorHAnsi"/>
                <w:sz w:val="20"/>
                <w:szCs w:val="20"/>
              </w:rPr>
              <w:tab/>
              <w:t>; Box-Cox tranfomation of IIV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F1</w:t>
            </w:r>
            <w:r w:rsidRPr="007F6AB1">
              <w:rPr>
                <w:rFonts w:cstheme="minorHAnsi"/>
                <w:sz w:val="20"/>
                <w:szCs w:val="20"/>
              </w:rPr>
              <w:tab/>
              <w:t>= TVF1 * EXP(ETATR)</w:t>
            </w:r>
            <w:r w:rsidRPr="007F6AB1">
              <w:rPr>
                <w:rFonts w:cstheme="minorHAnsi"/>
                <w:sz w:val="20"/>
                <w:szCs w:val="20"/>
              </w:rPr>
              <w:tab/>
              <w:t>; Individual relative bioavailability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K </w:t>
            </w:r>
            <w:r w:rsidRPr="007F6AB1">
              <w:rPr>
                <w:rFonts w:cstheme="minorHAnsi"/>
                <w:sz w:val="20"/>
                <w:szCs w:val="20"/>
              </w:rPr>
              <w:tab/>
              <w:t>= CL/V</w:t>
            </w:r>
            <w:r w:rsidRPr="007F6AB1">
              <w:rPr>
                <w:rFonts w:cstheme="minorHAnsi"/>
                <w:sz w:val="20"/>
                <w:szCs w:val="20"/>
              </w:rPr>
              <w:tab/>
              <w:t>; Elimination rate constant (COMP 2 --&gt; 0)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K23 </w:t>
            </w:r>
            <w:r w:rsidRPr="007F6AB1">
              <w:rPr>
                <w:rFonts w:cstheme="minorHAnsi"/>
                <w:sz w:val="20"/>
                <w:szCs w:val="20"/>
              </w:rPr>
              <w:tab/>
              <w:t>= Q/V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</w:t>
            </w:r>
            <w:r w:rsidRPr="007F6AB1">
              <w:rPr>
                <w:rFonts w:cstheme="minorHAnsi"/>
                <w:sz w:val="20"/>
                <w:szCs w:val="20"/>
                <w:lang w:val="en-GB"/>
              </w:rPr>
              <w:t>Distribution rate constant (COMP 2 --&gt; 3)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K32 </w:t>
            </w:r>
            <w:r w:rsidRPr="007F6AB1">
              <w:rPr>
                <w:rFonts w:cstheme="minorHAnsi"/>
                <w:sz w:val="20"/>
                <w:szCs w:val="20"/>
              </w:rPr>
              <w:tab/>
              <w:t>= Q/VP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</w:t>
            </w:r>
            <w:r w:rsidRPr="007F6AB1">
              <w:rPr>
                <w:rFonts w:cstheme="minorHAnsi"/>
                <w:sz w:val="20"/>
                <w:szCs w:val="20"/>
                <w:lang w:val="en-GB"/>
              </w:rPr>
              <w:t>Distribution rate constant (COMP 3 --&gt; 2)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S2 </w:t>
            </w:r>
            <w:r w:rsidRPr="007F6AB1">
              <w:rPr>
                <w:rFonts w:cstheme="minorHAnsi"/>
                <w:sz w:val="20"/>
                <w:szCs w:val="20"/>
              </w:rPr>
              <w:tab/>
              <w:t>= V /1000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</w:t>
            </w:r>
            <w:r w:rsidRPr="007F6AB1">
              <w:rPr>
                <w:rFonts w:cstheme="minorHAnsi"/>
                <w:sz w:val="20"/>
                <w:szCs w:val="20"/>
                <w:lang w:val="en-GB"/>
              </w:rPr>
              <w:t>Scaling for central volume</w:t>
            </w:r>
          </w:p>
          <w:p w:rsidR="007F6AB1" w:rsidRPr="007F6AB1" w:rsidRDefault="007F6AB1" w:rsidP="007F6AB1">
            <w:pPr>
              <w:tabs>
                <w:tab w:val="left" w:pos="1165"/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7F6AB1" w:rsidRPr="007F6AB1" w:rsidRDefault="007F6AB1" w:rsidP="007F6A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$ERROR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IPRED = A(2) / S2</w:t>
            </w:r>
            <w:r w:rsidRPr="007F6AB1">
              <w:rPr>
                <w:rFonts w:cstheme="minorHAnsi"/>
                <w:sz w:val="20"/>
                <w:szCs w:val="20"/>
              </w:rPr>
              <w:tab/>
            </w:r>
            <w:r w:rsidRPr="007F6AB1">
              <w:rPr>
                <w:rFonts w:cstheme="minorHAnsi"/>
                <w:sz w:val="20"/>
                <w:szCs w:val="20"/>
              </w:rPr>
              <w:tab/>
              <w:t>; Predicted plasma concentration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IF(IPRED.GT.0)  IPRED = LOG(IPRED)</w:t>
            </w:r>
            <w:r w:rsidRPr="007F6AB1">
              <w:rPr>
                <w:rFonts w:cstheme="minorHAnsi"/>
                <w:sz w:val="20"/>
                <w:szCs w:val="20"/>
              </w:rPr>
              <w:tab/>
              <w:t>; Natural logarithm of predictions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W = SQRT(SIGMA(1,1))</w:t>
            </w:r>
            <w:r w:rsidRPr="007F6AB1">
              <w:rPr>
                <w:rFonts w:cstheme="minorHAnsi"/>
                <w:sz w:val="20"/>
                <w:szCs w:val="20"/>
              </w:rPr>
              <w:tab/>
            </w:r>
            <w:r w:rsidRPr="007F6AB1">
              <w:rPr>
                <w:rFonts w:cstheme="minorHAnsi"/>
                <w:sz w:val="20"/>
                <w:szCs w:val="20"/>
              </w:rPr>
              <w:tab/>
              <w:t>; Residual error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IRES = IPRED – DV</w:t>
            </w:r>
            <w:r w:rsidRPr="007F6AB1">
              <w:rPr>
                <w:rFonts w:cstheme="minorHAnsi"/>
                <w:sz w:val="20"/>
                <w:szCs w:val="20"/>
              </w:rPr>
              <w:tab/>
              <w:t>; Individual residual error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IWRES = IRES / W</w:t>
            </w:r>
            <w:r w:rsidRPr="007F6AB1">
              <w:rPr>
                <w:rFonts w:cstheme="minorHAnsi"/>
                <w:sz w:val="20"/>
                <w:szCs w:val="20"/>
              </w:rPr>
              <w:tab/>
            </w:r>
            <w:r w:rsidRPr="007F6AB1">
              <w:rPr>
                <w:rFonts w:cstheme="minorHAnsi"/>
                <w:sz w:val="20"/>
                <w:szCs w:val="20"/>
              </w:rPr>
              <w:tab/>
              <w:t>; Individual weighted residual error</w:t>
            </w:r>
          </w:p>
          <w:p w:rsidR="007F6AB1" w:rsidRPr="007F6AB1" w:rsidRDefault="007F6AB1" w:rsidP="007F6AB1">
            <w:pPr>
              <w:tabs>
                <w:tab w:val="left" w:pos="3150"/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lastRenderedPageBreak/>
              <w:t xml:space="preserve">           Y = IPRED + EPS(1)</w:t>
            </w:r>
            <w:r w:rsidRPr="007F6AB1">
              <w:rPr>
                <w:rFonts w:cstheme="minorHAnsi"/>
                <w:sz w:val="20"/>
                <w:szCs w:val="20"/>
              </w:rPr>
              <w:tab/>
            </w:r>
            <w:r w:rsidRPr="007F6AB1">
              <w:rPr>
                <w:rFonts w:cstheme="minorHAnsi"/>
                <w:sz w:val="20"/>
                <w:szCs w:val="20"/>
              </w:rPr>
              <w:tab/>
              <w:t>; Additive residue error</w:t>
            </w:r>
          </w:p>
          <w:p w:rsidR="007F6AB1" w:rsidRPr="007F6AB1" w:rsidRDefault="007F6AB1" w:rsidP="007F6AB1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;------------------------------------------------------------------------------------------------------------------------------------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$THETA</w:t>
            </w:r>
            <w:r w:rsidRPr="007F6AB1">
              <w:rPr>
                <w:rFonts w:cstheme="minorHAnsi"/>
                <w:sz w:val="20"/>
                <w:szCs w:val="20"/>
              </w:rPr>
              <w:tab/>
              <w:t>; Initial estimates of theta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(0, 1.35)</w:t>
            </w:r>
            <w:r w:rsidRPr="007F6AB1">
              <w:rPr>
                <w:rFonts w:cstheme="minorHAnsi"/>
                <w:sz w:val="20"/>
                <w:szCs w:val="20"/>
              </w:rPr>
              <w:tab/>
              <w:t>; 1. Clearance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(0, 11.2)</w:t>
            </w:r>
            <w:r w:rsidRPr="007F6AB1">
              <w:rPr>
                <w:rFonts w:cstheme="minorHAnsi"/>
                <w:sz w:val="20"/>
                <w:szCs w:val="20"/>
              </w:rPr>
              <w:tab/>
              <w:t>; 2</w:t>
            </w:r>
            <w:r w:rsidRPr="007F6AB1">
              <w:rPr>
                <w:rFonts w:cstheme="minorHAnsi"/>
                <w:sz w:val="20"/>
                <w:szCs w:val="20"/>
                <w:lang w:val="en-GB"/>
              </w:rPr>
              <w:t>. Central volume of distribution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(0, 0.344)</w:t>
            </w:r>
            <w:r w:rsidRPr="007F6AB1">
              <w:rPr>
                <w:rFonts w:cstheme="minorHAnsi"/>
                <w:sz w:val="20"/>
                <w:szCs w:val="20"/>
              </w:rPr>
              <w:tab/>
              <w:t>; 3. Inter-compartment clearance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(0, 59.0)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4. </w:t>
            </w:r>
            <w:r w:rsidRPr="007F6AB1">
              <w:rPr>
                <w:rFonts w:cstheme="minorHAnsi"/>
                <w:sz w:val="20"/>
                <w:szCs w:val="20"/>
                <w:lang w:val="en-GB"/>
              </w:rPr>
              <w:t>Peripheral volume of distribution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(0, 0.0386)</w:t>
            </w:r>
            <w:r w:rsidRPr="007F6AB1">
              <w:rPr>
                <w:rFonts w:cstheme="minorHAnsi"/>
                <w:sz w:val="20"/>
                <w:szCs w:val="20"/>
              </w:rPr>
              <w:tab/>
              <w:t>; 5. Absoprtion rate constant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(1 FIX)</w:t>
            </w:r>
            <w:r w:rsidRPr="007F6AB1">
              <w:rPr>
                <w:rFonts w:cstheme="minorHAnsi"/>
                <w:sz w:val="20"/>
                <w:szCs w:val="20"/>
              </w:rPr>
              <w:tab/>
              <w:t>; 6. Relative bioavailability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(0, 3.86)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7. Dose (mg/kg) to reach 50% of full absoption 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(-1, 0.352)</w:t>
            </w:r>
            <w:r w:rsidRPr="007F6AB1">
              <w:rPr>
                <w:rFonts w:cstheme="minorHAnsi"/>
                <w:sz w:val="20"/>
                <w:szCs w:val="20"/>
              </w:rPr>
              <w:tab/>
              <w:t>; 8. Pregnancy on absoprtion rate constant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(-1, -0.643)</w:t>
            </w:r>
            <w:r w:rsidRPr="007F6AB1">
              <w:rPr>
                <w:rFonts w:cstheme="minorHAnsi"/>
                <w:sz w:val="20"/>
                <w:szCs w:val="20"/>
              </w:rPr>
              <w:tab/>
              <w:t>; 9. Parasite biomass on relative bioavailability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 (-1, -0.343)</w:t>
            </w:r>
            <w:r w:rsidRPr="007F6AB1">
              <w:rPr>
                <w:rFonts w:cstheme="minorHAnsi"/>
                <w:sz w:val="20"/>
                <w:szCs w:val="20"/>
              </w:rPr>
              <w:tab/>
              <w:t>; 10. Box-Cox shape parameter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$OMEGA</w:t>
            </w:r>
            <w:r w:rsidRPr="007F6AB1">
              <w:rPr>
                <w:rFonts w:cstheme="minorHAnsi"/>
                <w:sz w:val="20"/>
                <w:szCs w:val="20"/>
              </w:rPr>
              <w:tab/>
              <w:t>; Initial estimates for omega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(0 FIX)</w:t>
            </w:r>
            <w:r w:rsidRPr="007F6AB1">
              <w:rPr>
                <w:rFonts w:cstheme="minorHAnsi"/>
                <w:sz w:val="20"/>
                <w:szCs w:val="20"/>
              </w:rPr>
              <w:tab/>
              <w:t>; 1. IIV clearance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(1.12)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2. </w:t>
            </w:r>
            <w:r w:rsidRPr="007F6AB1">
              <w:rPr>
                <w:rFonts w:cstheme="minorHAnsi"/>
                <w:sz w:val="20"/>
                <w:szCs w:val="20"/>
                <w:lang w:val="en-GB"/>
              </w:rPr>
              <w:t>IIV central volume of distribution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(0  FIX)</w:t>
            </w:r>
            <w:r w:rsidRPr="007F6AB1">
              <w:rPr>
                <w:rFonts w:cstheme="minorHAnsi"/>
                <w:sz w:val="20"/>
                <w:szCs w:val="20"/>
              </w:rPr>
              <w:tab/>
              <w:t>; 3. IIV Inter-compartment clearance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19"/>
                <w:szCs w:val="19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(0 FIX)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4. IIV </w:t>
            </w:r>
            <w:r w:rsidRPr="007F6AB1">
              <w:rPr>
                <w:rFonts w:cstheme="minorHAnsi"/>
                <w:sz w:val="19"/>
                <w:szCs w:val="19"/>
                <w:lang w:val="en-GB"/>
              </w:rPr>
              <w:t>peripheral volume of distribution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(0 FIX)</w:t>
            </w:r>
            <w:r w:rsidRPr="007F6AB1">
              <w:rPr>
                <w:rFonts w:cstheme="minorHAnsi"/>
                <w:sz w:val="20"/>
                <w:szCs w:val="20"/>
              </w:rPr>
              <w:tab/>
              <w:t>; 5. IIV absorption rate constant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(0.402)</w:t>
            </w:r>
            <w:r w:rsidRPr="007F6AB1">
              <w:rPr>
                <w:rFonts w:cstheme="minorHAnsi"/>
                <w:sz w:val="20"/>
                <w:szCs w:val="20"/>
              </w:rPr>
              <w:tab/>
              <w:t>; 6. IIV relative bioavailability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>$SIGMA</w:t>
            </w:r>
            <w:r w:rsidRPr="007F6AB1">
              <w:rPr>
                <w:rFonts w:cstheme="minorHAnsi"/>
                <w:sz w:val="20"/>
                <w:szCs w:val="20"/>
              </w:rPr>
              <w:tab/>
              <w:t>; Initial estimates of sigma</w:t>
            </w:r>
          </w:p>
          <w:p w:rsidR="007F6AB1" w:rsidRPr="007F6AB1" w:rsidRDefault="007F6AB1" w:rsidP="007F6AB1">
            <w:pPr>
              <w:tabs>
                <w:tab w:val="left" w:pos="438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           (0.323)</w:t>
            </w:r>
            <w:r w:rsidRPr="007F6AB1">
              <w:rPr>
                <w:rFonts w:cstheme="minorHAnsi"/>
                <w:sz w:val="20"/>
                <w:szCs w:val="20"/>
              </w:rPr>
              <w:tab/>
              <w:t xml:space="preserve">; Residual variability </w:t>
            </w:r>
          </w:p>
          <w:p w:rsidR="007F6AB1" w:rsidRPr="007F6AB1" w:rsidRDefault="007F6AB1" w:rsidP="007F6AB1">
            <w:pPr>
              <w:tabs>
                <w:tab w:val="left" w:pos="3858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7F6AB1" w:rsidRPr="007F6AB1" w:rsidRDefault="007F6AB1" w:rsidP="007F6AB1">
            <w:pPr>
              <w:tabs>
                <w:tab w:val="left" w:pos="3858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6AB1">
              <w:rPr>
                <w:rFonts w:cstheme="minorHAnsi"/>
                <w:sz w:val="20"/>
                <w:szCs w:val="20"/>
              </w:rPr>
              <w:t xml:space="preserve">$ESTIMATION   POSTHOC MAXEVAL=9999   METHOD=1 INTER </w:t>
            </w:r>
          </w:p>
        </w:tc>
      </w:tr>
    </w:tbl>
    <w:p w:rsidR="00A46296" w:rsidRPr="007F6AB1" w:rsidRDefault="00A46296">
      <w:pPr>
        <w:rPr>
          <w:rFonts w:cstheme="minorHAnsi"/>
        </w:rPr>
      </w:pPr>
    </w:p>
    <w:sectPr w:rsidR="00A46296" w:rsidRPr="007F6AB1" w:rsidSect="007F6AB1">
      <w:footerReference w:type="default" r:id="rId13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B1" w:rsidRDefault="007F6AB1" w:rsidP="007F6AB1">
      <w:pPr>
        <w:spacing w:after="0" w:line="240" w:lineRule="auto"/>
      </w:pPr>
      <w:r>
        <w:separator/>
      </w:r>
    </w:p>
  </w:endnote>
  <w:endnote w:type="continuationSeparator" w:id="0">
    <w:p w:rsidR="007F6AB1" w:rsidRDefault="007F6AB1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6314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AB1" w:rsidRDefault="007F6A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7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7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6AB1" w:rsidRDefault="007F6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B1" w:rsidRDefault="007F6AB1" w:rsidP="007F6AB1">
      <w:pPr>
        <w:spacing w:after="0" w:line="240" w:lineRule="auto"/>
      </w:pPr>
      <w:r>
        <w:separator/>
      </w:r>
    </w:p>
  </w:footnote>
  <w:footnote w:type="continuationSeparator" w:id="0">
    <w:p w:rsidR="007F6AB1" w:rsidRDefault="007F6AB1" w:rsidP="007F6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97"/>
    <w:rsid w:val="00033BC5"/>
    <w:rsid w:val="00045D41"/>
    <w:rsid w:val="000B4D4D"/>
    <w:rsid w:val="00101771"/>
    <w:rsid w:val="001801E7"/>
    <w:rsid w:val="00187FCF"/>
    <w:rsid w:val="001B24BF"/>
    <w:rsid w:val="0020201E"/>
    <w:rsid w:val="00225761"/>
    <w:rsid w:val="002D1009"/>
    <w:rsid w:val="002D433C"/>
    <w:rsid w:val="003063FE"/>
    <w:rsid w:val="003278ED"/>
    <w:rsid w:val="0036137A"/>
    <w:rsid w:val="00390FAC"/>
    <w:rsid w:val="004069A6"/>
    <w:rsid w:val="00414345"/>
    <w:rsid w:val="00441E1D"/>
    <w:rsid w:val="00452043"/>
    <w:rsid w:val="00470E1C"/>
    <w:rsid w:val="004C4334"/>
    <w:rsid w:val="004E3771"/>
    <w:rsid w:val="00503BBC"/>
    <w:rsid w:val="00506EB2"/>
    <w:rsid w:val="005D37AF"/>
    <w:rsid w:val="005E2A99"/>
    <w:rsid w:val="00624B30"/>
    <w:rsid w:val="00642A80"/>
    <w:rsid w:val="00661EA2"/>
    <w:rsid w:val="006628EC"/>
    <w:rsid w:val="006E4619"/>
    <w:rsid w:val="007242D7"/>
    <w:rsid w:val="007F6AB1"/>
    <w:rsid w:val="00813250"/>
    <w:rsid w:val="008338BE"/>
    <w:rsid w:val="00843A36"/>
    <w:rsid w:val="00876426"/>
    <w:rsid w:val="00882804"/>
    <w:rsid w:val="008F7558"/>
    <w:rsid w:val="009067CA"/>
    <w:rsid w:val="00915423"/>
    <w:rsid w:val="00923A5D"/>
    <w:rsid w:val="00942E72"/>
    <w:rsid w:val="00946534"/>
    <w:rsid w:val="00A115C5"/>
    <w:rsid w:val="00A46296"/>
    <w:rsid w:val="00A76F29"/>
    <w:rsid w:val="00AC511A"/>
    <w:rsid w:val="00B26B40"/>
    <w:rsid w:val="00B652BB"/>
    <w:rsid w:val="00B708B5"/>
    <w:rsid w:val="00B72597"/>
    <w:rsid w:val="00BF0319"/>
    <w:rsid w:val="00C11CA4"/>
    <w:rsid w:val="00C426AA"/>
    <w:rsid w:val="00C5701A"/>
    <w:rsid w:val="00CA5B08"/>
    <w:rsid w:val="00CB5558"/>
    <w:rsid w:val="00CB5CCE"/>
    <w:rsid w:val="00CB7613"/>
    <w:rsid w:val="00CC6B8F"/>
    <w:rsid w:val="00D0751F"/>
    <w:rsid w:val="00E463BD"/>
    <w:rsid w:val="00EB26A4"/>
    <w:rsid w:val="00F1398B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018C6A-6C8F-4EBC-9678-49C838F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97"/>
    <w:pPr>
      <w:spacing w:after="200" w:line="276" w:lineRule="auto"/>
    </w:pPr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97"/>
    <w:pPr>
      <w:spacing w:after="0" w:line="240" w:lineRule="auto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36"/>
    <w:rPr>
      <w:rFonts w:ascii="Segoe UI" w:eastAsiaTheme="minorEastAsia" w:hAnsi="Segoe UI" w:cs="Segoe UI"/>
      <w:sz w:val="18"/>
      <w:szCs w:val="18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7F6A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B1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7F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1"/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arn.org/working-together/scientific-group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warn.org/impact-outcomes/publications/population-pharmacokinetic-properties-piperaquine-falciparum-malaria" TargetMode="External"/><Relationship Id="rId12" Type="http://schemas.openxmlformats.org/officeDocument/2006/relationships/hyperlink" Target="https://www.wwarn.org/working-together/study-groups/antimalarial-lumefantrine-poppk-study-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s://www.wwarn.org/impact-outcomes/publications/artemether-lumefantrine-dosing-malaria-treatment-young-children-an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wwar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warn.org/working-together/scientific-grou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Tarning</dc:creator>
  <cp:keywords/>
  <dc:description/>
  <cp:lastModifiedBy>Samantha McGregor</cp:lastModifiedBy>
  <cp:revision>2</cp:revision>
  <dcterms:created xsi:type="dcterms:W3CDTF">2023-06-14T10:53:00Z</dcterms:created>
  <dcterms:modified xsi:type="dcterms:W3CDTF">2023-06-14T10:53:00Z</dcterms:modified>
</cp:coreProperties>
</file>