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225" w:rsidRPr="0039615D" w:rsidRDefault="00602225" w:rsidP="00602225"/>
    <w:p w:rsidR="00602225" w:rsidRPr="0039615D" w:rsidRDefault="00602225" w:rsidP="00602225"/>
    <w:p w:rsidR="00602225" w:rsidRPr="0039615D" w:rsidRDefault="00602225" w:rsidP="00602225"/>
    <w:p w:rsidR="00602225" w:rsidRPr="0039615D" w:rsidRDefault="00602225" w:rsidP="00602225"/>
    <w:p w:rsidR="00602225" w:rsidRPr="0039615D" w:rsidRDefault="00602225" w:rsidP="00602225"/>
    <w:p w:rsidR="00602225" w:rsidRPr="0039615D" w:rsidRDefault="00602225" w:rsidP="00602225"/>
    <w:p w:rsidR="00602225" w:rsidRPr="0039615D" w:rsidRDefault="00602225" w:rsidP="00602225"/>
    <w:p w:rsidR="00602225" w:rsidRPr="0039615D" w:rsidRDefault="000375B4" w:rsidP="00602225">
      <w:r>
        <w:rPr>
          <w:noProof/>
          <w:szCs w:val="20"/>
          <w:lang w:val="en-GB" w:eastAsia="en-GB"/>
        </w:rPr>
        <mc:AlternateContent>
          <mc:Choice Requires="wps">
            <w:drawing>
              <wp:anchor distT="0" distB="0" distL="114300" distR="114300" simplePos="0" relativeHeight="251658240" behindDoc="1" locked="0" layoutInCell="1" allowOverlap="1">
                <wp:simplePos x="0" y="0"/>
                <wp:positionH relativeFrom="page">
                  <wp:posOffset>-71755</wp:posOffset>
                </wp:positionH>
                <wp:positionV relativeFrom="paragraph">
                  <wp:posOffset>71755</wp:posOffset>
                </wp:positionV>
                <wp:extent cx="9258300" cy="16002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8300" cy="1600200"/>
                        </a:xfrm>
                        <a:prstGeom prst="rect">
                          <a:avLst/>
                        </a:prstGeom>
                        <a:solidFill>
                          <a:srgbClr val="92D05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7E072" id="Rectangle 2" o:spid="_x0000_s1026" style="position:absolute;margin-left:-5.65pt;margin-top:5.65pt;width:729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" fillcolor="#92d050" stroked="f">
                <w10:wrap anchorx="page"/>
              </v:rect>
            </w:pict>
          </mc:Fallback>
        </mc:AlternateContent>
      </w:r>
    </w:p>
    <w:p w:rsidR="00602225" w:rsidRPr="0039615D" w:rsidRDefault="00602225" w:rsidP="00602225"/>
    <w:p w:rsidR="00602225" w:rsidRPr="0039615D" w:rsidRDefault="00602225" w:rsidP="00602225"/>
    <w:p w:rsidR="00602225" w:rsidRPr="0039615D" w:rsidRDefault="002F648E" w:rsidP="00DD3697">
      <w:pPr>
        <w:pStyle w:val="CoverPageTitle"/>
      </w:pPr>
      <w:r>
        <w:t>C</w:t>
      </w:r>
      <w:r w:rsidR="006B39F0">
        <w:t xml:space="preserve">ollection of samples for </w:t>
      </w:r>
      <w:r w:rsidR="00A93DD2">
        <w:t>p</w:t>
      </w:r>
      <w:r w:rsidR="006B39F0">
        <w:t>rimaquine</w:t>
      </w:r>
      <w:r w:rsidR="007B2796">
        <w:t>/</w:t>
      </w:r>
      <w:r w:rsidR="00A93DD2">
        <w:t>c</w:t>
      </w:r>
      <w:r w:rsidR="007B2796">
        <w:t>arboxyprimaquine</w:t>
      </w:r>
      <w:r w:rsidR="006B39F0">
        <w:t xml:space="preserve"> pharmacology analysis</w:t>
      </w:r>
    </w:p>
    <w:p w:rsidR="002F648E" w:rsidRPr="0039615D" w:rsidRDefault="002F648E" w:rsidP="002F648E">
      <w:pPr>
        <w:pStyle w:val="CoverPageWhiteText"/>
      </w:pPr>
      <w:bookmarkStart w:id="0" w:name="_Hlk524682814"/>
    </w:p>
    <w:p w:rsidR="00602225" w:rsidRPr="0039615D" w:rsidRDefault="002F648E" w:rsidP="00DD3697">
      <w:pPr>
        <w:pStyle w:val="CoverPageWhiteText"/>
      </w:pPr>
      <w:r>
        <w:t>Procedure</w:t>
      </w:r>
      <w:bookmarkEnd w:id="0"/>
    </w:p>
    <w:p w:rsidR="00602225" w:rsidRPr="0039615D" w:rsidRDefault="00602225" w:rsidP="00DD3697">
      <w:pPr>
        <w:pStyle w:val="CoverPageWhiteText"/>
      </w:pPr>
    </w:p>
    <w:p w:rsidR="00602225" w:rsidRPr="0039615D" w:rsidRDefault="00602225" w:rsidP="00602225">
      <w:pPr>
        <w:pStyle w:val="SectionSubtitle"/>
      </w:pPr>
    </w:p>
    <w:p w:rsidR="00602225" w:rsidRPr="0039615D" w:rsidRDefault="00602225" w:rsidP="00602225">
      <w:pPr>
        <w:pStyle w:val="SectionSubtitle"/>
      </w:pPr>
    </w:p>
    <w:p w:rsidR="00602225" w:rsidRPr="0039615D" w:rsidRDefault="00602225" w:rsidP="00602225">
      <w:pPr>
        <w:pStyle w:val="SectionSubtitle"/>
      </w:pPr>
    </w:p>
    <w:p w:rsidR="00602225" w:rsidRPr="0039615D" w:rsidRDefault="00602225" w:rsidP="00DD3697">
      <w:pPr>
        <w:pStyle w:val="CoverPageText"/>
      </w:pPr>
    </w:p>
    <w:p w:rsidR="00602225" w:rsidRPr="0039615D" w:rsidRDefault="00602225" w:rsidP="00DD3697">
      <w:pPr>
        <w:pStyle w:val="CoverPageText"/>
      </w:pPr>
    </w:p>
    <w:p w:rsidR="00602225" w:rsidRPr="0039615D" w:rsidRDefault="00602225" w:rsidP="00DD3697">
      <w:pPr>
        <w:pStyle w:val="CoverPageText"/>
      </w:pPr>
    </w:p>
    <w:p w:rsidR="00602225" w:rsidRPr="0039615D" w:rsidRDefault="00602225" w:rsidP="00DD3697">
      <w:pPr>
        <w:pStyle w:val="CoverPageText"/>
      </w:pPr>
    </w:p>
    <w:p w:rsidR="00602225" w:rsidRPr="0039615D" w:rsidRDefault="00602225" w:rsidP="00DD3697">
      <w:pPr>
        <w:pStyle w:val="CoverPageText"/>
      </w:pPr>
    </w:p>
    <w:p w:rsidR="00602225" w:rsidRPr="0039615D" w:rsidRDefault="00602225" w:rsidP="00DD3697">
      <w:pPr>
        <w:pStyle w:val="CoverPageText"/>
      </w:pPr>
    </w:p>
    <w:p w:rsidR="00602225" w:rsidRPr="0039615D" w:rsidRDefault="00602225" w:rsidP="00DD3697">
      <w:pPr>
        <w:pStyle w:val="CoverPageText"/>
      </w:pPr>
    </w:p>
    <w:p w:rsidR="00602225" w:rsidRPr="0039615D" w:rsidRDefault="00602225" w:rsidP="00DD3697">
      <w:pPr>
        <w:pStyle w:val="CoverPageText"/>
      </w:pPr>
    </w:p>
    <w:p w:rsidR="00602225" w:rsidRPr="0039615D" w:rsidRDefault="00602225" w:rsidP="00DD3697">
      <w:pPr>
        <w:pStyle w:val="CoverPageText"/>
      </w:pPr>
    </w:p>
    <w:p w:rsidR="00602225" w:rsidRPr="0039615D" w:rsidRDefault="00602225" w:rsidP="00DD3697">
      <w:pPr>
        <w:pStyle w:val="CoverPageText"/>
      </w:pPr>
    </w:p>
    <w:p w:rsidR="00602225" w:rsidRPr="0039615D" w:rsidRDefault="00602225" w:rsidP="00DD3697">
      <w:pPr>
        <w:pStyle w:val="CoverPageText"/>
      </w:pPr>
    </w:p>
    <w:p w:rsidR="00602225" w:rsidRPr="0039615D" w:rsidRDefault="00602225" w:rsidP="00DD3697">
      <w:pPr>
        <w:pStyle w:val="CoverPageText"/>
      </w:pPr>
    </w:p>
    <w:p w:rsidR="00602225" w:rsidRPr="0039615D" w:rsidRDefault="00602225" w:rsidP="00DD3697">
      <w:pPr>
        <w:pStyle w:val="CoverPageText"/>
      </w:pPr>
    </w:p>
    <w:p w:rsidR="00602225" w:rsidRPr="0039615D" w:rsidRDefault="00602225" w:rsidP="00DD3697">
      <w:pPr>
        <w:pStyle w:val="CoverPageText"/>
      </w:pPr>
    </w:p>
    <w:p w:rsidR="00602225" w:rsidRPr="0039615D" w:rsidRDefault="00602225" w:rsidP="00DD3697">
      <w:pPr>
        <w:pStyle w:val="CoverPageText"/>
      </w:pPr>
    </w:p>
    <w:p w:rsidR="00602225" w:rsidRPr="0039615D" w:rsidRDefault="00602225" w:rsidP="00DD3697">
      <w:pPr>
        <w:pStyle w:val="CoverPageText"/>
      </w:pPr>
    </w:p>
    <w:p w:rsidR="00602225" w:rsidRPr="0039615D" w:rsidRDefault="00602225" w:rsidP="00DD3697">
      <w:pPr>
        <w:pStyle w:val="CoverPageText"/>
      </w:pPr>
    </w:p>
    <w:p w:rsidR="00602225" w:rsidRPr="0039615D" w:rsidRDefault="00602225" w:rsidP="00DD3697">
      <w:pPr>
        <w:pStyle w:val="CoverPageText"/>
      </w:pPr>
    </w:p>
    <w:p w:rsidR="00602225" w:rsidRPr="0039615D" w:rsidRDefault="00602225" w:rsidP="00DD3697">
      <w:pPr>
        <w:pStyle w:val="CoverPageText"/>
      </w:pPr>
    </w:p>
    <w:p w:rsidR="00602225" w:rsidRPr="0039615D" w:rsidRDefault="00602225" w:rsidP="00DD3697">
      <w:pPr>
        <w:pStyle w:val="CoverPageText"/>
      </w:pPr>
    </w:p>
    <w:p w:rsidR="00602225" w:rsidRPr="0039615D" w:rsidRDefault="00602225" w:rsidP="00DD3697">
      <w:pPr>
        <w:pStyle w:val="CoverPageText"/>
      </w:pPr>
    </w:p>
    <w:p w:rsidR="00602225" w:rsidRPr="0039615D" w:rsidRDefault="00602225" w:rsidP="00DD3697">
      <w:pPr>
        <w:pStyle w:val="CoverPageText"/>
      </w:pPr>
    </w:p>
    <w:p w:rsidR="00602225" w:rsidRPr="0039615D" w:rsidRDefault="00602225" w:rsidP="00DD3697">
      <w:pPr>
        <w:pStyle w:val="CoverPageText"/>
      </w:pPr>
    </w:p>
    <w:p w:rsidR="00602225" w:rsidRPr="0039615D" w:rsidRDefault="00602225" w:rsidP="00DD3697">
      <w:pPr>
        <w:pStyle w:val="CoverPageText"/>
      </w:pPr>
      <w:proofErr w:type="spellStart"/>
      <w:r w:rsidRPr="0039615D">
        <w:t>WorldWide</w:t>
      </w:r>
      <w:proofErr w:type="spellEnd"/>
      <w:r w:rsidRPr="0039615D">
        <w:t xml:space="preserve"> Antimalarial Resistance Network (WWARN)</w:t>
      </w:r>
    </w:p>
    <w:p w:rsidR="00602225" w:rsidRPr="0039615D" w:rsidRDefault="005645CD" w:rsidP="00602225">
      <w:pPr>
        <w:pStyle w:val="SectionTitle"/>
      </w:pPr>
      <w:r>
        <w:rPr>
          <w:noProof/>
          <w:lang w:val="en-GB" w:eastAsia="en-GB"/>
        </w:rPr>
        <w:lastRenderedPageBreak/>
        <w:drawing>
          <wp:inline distT="0" distB="0" distL="0" distR="0">
            <wp:extent cx="632460" cy="670560"/>
            <wp:effectExtent l="19050" t="0" r="0" b="0"/>
            <wp:docPr id="1" name="Picture 1" descr="WWARN Logo (new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ARN Logo (new version)"/>
                    <pic:cNvPicPr>
                      <a:picLocks noChangeAspect="1" noChangeArrowheads="1"/>
                    </pic:cNvPicPr>
                  </pic:nvPicPr>
                  <pic:blipFill>
                    <a:blip r:embed="rId11" cstate="print"/>
                    <a:srcRect/>
                    <a:stretch>
                      <a:fillRect/>
                    </a:stretch>
                  </pic:blipFill>
                  <pic:spPr bwMode="auto">
                    <a:xfrm>
                      <a:off x="0" y="0"/>
                      <a:ext cx="632460" cy="670560"/>
                    </a:xfrm>
                    <a:prstGeom prst="rect">
                      <a:avLst/>
                    </a:prstGeom>
                    <a:noFill/>
                    <a:ln w="9525">
                      <a:noFill/>
                      <a:miter lim="800000"/>
                      <a:headEnd/>
                      <a:tailEnd/>
                    </a:ln>
                  </pic:spPr>
                </pic:pic>
              </a:graphicData>
            </a:graphic>
          </wp:inline>
        </w:drawing>
      </w:r>
    </w:p>
    <w:p w:rsidR="00602225" w:rsidRPr="0039615D" w:rsidRDefault="00602225" w:rsidP="00602225">
      <w:pPr>
        <w:pStyle w:val="SectionTitle"/>
      </w:pPr>
    </w:p>
    <w:p w:rsidR="002F648E" w:rsidRPr="00CF4159" w:rsidRDefault="002F648E" w:rsidP="002F648E">
      <w:pPr>
        <w:pStyle w:val="SectionSubtitle"/>
        <w:rPr>
          <w:b w:val="0"/>
        </w:rPr>
      </w:pPr>
      <w:bookmarkStart w:id="1" w:name="_Hlk524682556"/>
      <w:r w:rsidRPr="0039615D">
        <w:t xml:space="preserve">Suggested citation: </w:t>
      </w:r>
      <w:r>
        <w:rPr>
          <w:b w:val="0"/>
        </w:rPr>
        <w:t>WWARN Procedure</w:t>
      </w:r>
      <w:r w:rsidRPr="003912CD">
        <w:rPr>
          <w:b w:val="0"/>
        </w:rPr>
        <w:t>.</w:t>
      </w:r>
      <w:r>
        <w:t xml:space="preserve"> </w:t>
      </w:r>
      <w:r w:rsidRPr="002F648E">
        <w:rPr>
          <w:b w:val="0"/>
        </w:rPr>
        <w:t xml:space="preserve">Collection of samples for primaquine / </w:t>
      </w:r>
      <w:proofErr w:type="spellStart"/>
      <w:r w:rsidRPr="002F648E">
        <w:rPr>
          <w:b w:val="0"/>
        </w:rPr>
        <w:t>carboxyprimaquine</w:t>
      </w:r>
      <w:proofErr w:type="spellEnd"/>
      <w:r w:rsidRPr="002F648E">
        <w:rPr>
          <w:b w:val="0"/>
        </w:rPr>
        <w:t xml:space="preserve"> pharmacology analysis</w:t>
      </w:r>
      <w:r w:rsidRPr="00D8490A">
        <w:rPr>
          <w:b w:val="0"/>
        </w:rPr>
        <w:t xml:space="preserve"> </w:t>
      </w:r>
      <w:r>
        <w:rPr>
          <w:b w:val="0"/>
        </w:rPr>
        <w:t>v2.0</w:t>
      </w:r>
    </w:p>
    <w:p w:rsidR="002F648E" w:rsidRDefault="002F648E" w:rsidP="002F648E">
      <w:pPr>
        <w:pStyle w:val="SectionTitle"/>
      </w:pPr>
    </w:p>
    <w:p w:rsidR="002F648E" w:rsidRDefault="002F648E" w:rsidP="002F648E">
      <w:pPr>
        <w:pStyle w:val="SectionSubtitle"/>
        <w:rPr>
          <w:b w:val="0"/>
        </w:rPr>
      </w:pPr>
      <w:r>
        <w:t xml:space="preserve">Procedure ID: </w:t>
      </w:r>
      <w:r w:rsidRPr="009C4A2E">
        <w:rPr>
          <w:b w:val="0"/>
        </w:rPr>
        <w:t>CL</w:t>
      </w:r>
      <w:r>
        <w:rPr>
          <w:b w:val="0"/>
        </w:rPr>
        <w:t>21</w:t>
      </w:r>
    </w:p>
    <w:p w:rsidR="002F648E" w:rsidRPr="001F0D43" w:rsidRDefault="002F648E" w:rsidP="002F648E">
      <w:pPr>
        <w:pStyle w:val="SectionSubtitle"/>
      </w:pPr>
      <w:r w:rsidRPr="001F0D43">
        <w:t xml:space="preserve">This procedure was developed by: </w:t>
      </w:r>
      <w:r w:rsidRPr="001F0D43">
        <w:rPr>
          <w:b w:val="0"/>
        </w:rPr>
        <w:t>WWARN</w:t>
      </w:r>
    </w:p>
    <w:p w:rsidR="002F648E" w:rsidRPr="0039615D" w:rsidRDefault="002F648E" w:rsidP="002F648E"/>
    <w:p w:rsidR="002F648E" w:rsidRDefault="002F648E" w:rsidP="002F648E">
      <w:pPr>
        <w:pStyle w:val="SectionSubtitle"/>
      </w:pPr>
      <w:r w:rsidRPr="0039615D">
        <w:t>Version History</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78F91"/>
        <w:tblLook w:val="04A0" w:firstRow="1" w:lastRow="0" w:firstColumn="1" w:lastColumn="0" w:noHBand="0" w:noVBand="1"/>
      </w:tblPr>
      <w:tblGrid>
        <w:gridCol w:w="1333"/>
        <w:gridCol w:w="3119"/>
        <w:gridCol w:w="3770"/>
      </w:tblGrid>
      <w:tr w:rsidR="002F648E" w:rsidTr="007B392A">
        <w:tc>
          <w:tcPr>
            <w:tcW w:w="1333" w:type="dxa"/>
            <w:tcBorders>
              <w:bottom w:val="single" w:sz="6" w:space="0" w:color="auto"/>
            </w:tcBorders>
            <w:shd w:val="clear" w:color="auto" w:fill="92D050"/>
          </w:tcPr>
          <w:p w:rsidR="002F648E" w:rsidRPr="008B6F24" w:rsidRDefault="002F648E" w:rsidP="007B392A">
            <w:pPr>
              <w:pStyle w:val="CoverPageWhiteText"/>
              <w:rPr>
                <w:sz w:val="22"/>
                <w:szCs w:val="22"/>
              </w:rPr>
            </w:pPr>
            <w:r w:rsidRPr="008B6F24">
              <w:rPr>
                <w:sz w:val="22"/>
                <w:szCs w:val="22"/>
              </w:rPr>
              <w:t xml:space="preserve">Version number </w:t>
            </w:r>
          </w:p>
        </w:tc>
        <w:tc>
          <w:tcPr>
            <w:tcW w:w="3119" w:type="dxa"/>
            <w:tcBorders>
              <w:bottom w:val="single" w:sz="6" w:space="0" w:color="auto"/>
            </w:tcBorders>
            <w:shd w:val="clear" w:color="auto" w:fill="92D050"/>
          </w:tcPr>
          <w:p w:rsidR="002F648E" w:rsidRPr="008B6F24" w:rsidRDefault="002F648E" w:rsidP="007B392A">
            <w:pPr>
              <w:pStyle w:val="CoverPageWhiteText"/>
              <w:rPr>
                <w:sz w:val="22"/>
                <w:szCs w:val="22"/>
              </w:rPr>
            </w:pPr>
            <w:r w:rsidRPr="008B6F24">
              <w:rPr>
                <w:sz w:val="22"/>
                <w:szCs w:val="22"/>
              </w:rPr>
              <w:t>Revision(s) &amp; reason for amendment</w:t>
            </w:r>
          </w:p>
        </w:tc>
        <w:tc>
          <w:tcPr>
            <w:tcW w:w="3770" w:type="dxa"/>
            <w:tcBorders>
              <w:bottom w:val="single" w:sz="6" w:space="0" w:color="auto"/>
            </w:tcBorders>
            <w:shd w:val="clear" w:color="auto" w:fill="92D050"/>
          </w:tcPr>
          <w:p w:rsidR="002F648E" w:rsidRPr="0076383C" w:rsidRDefault="002F648E" w:rsidP="007B392A">
            <w:pPr>
              <w:pStyle w:val="CoverPageWhiteText"/>
              <w:rPr>
                <w:bCs/>
                <w:sz w:val="22"/>
              </w:rPr>
            </w:pPr>
            <w:r>
              <w:rPr>
                <w:bCs/>
                <w:sz w:val="22"/>
              </w:rPr>
              <w:t>Release Date</w:t>
            </w:r>
          </w:p>
        </w:tc>
      </w:tr>
      <w:tr w:rsidR="002F648E" w:rsidTr="007B392A">
        <w:tc>
          <w:tcPr>
            <w:tcW w:w="1333" w:type="dxa"/>
          </w:tcPr>
          <w:p w:rsidR="002F648E" w:rsidRPr="008B6CCA" w:rsidRDefault="002F648E" w:rsidP="007B392A">
            <w:pPr>
              <w:pStyle w:val="SectionSubtitle"/>
              <w:rPr>
                <w:sz w:val="18"/>
                <w:szCs w:val="18"/>
              </w:rPr>
            </w:pPr>
            <w:r>
              <w:rPr>
                <w:sz w:val="18"/>
                <w:szCs w:val="18"/>
              </w:rPr>
              <w:t>1.0</w:t>
            </w:r>
          </w:p>
        </w:tc>
        <w:tc>
          <w:tcPr>
            <w:tcW w:w="3119" w:type="dxa"/>
          </w:tcPr>
          <w:p w:rsidR="002F648E" w:rsidRPr="008B6CCA" w:rsidRDefault="002F648E" w:rsidP="007B392A">
            <w:pPr>
              <w:pStyle w:val="SectionSubtitle"/>
              <w:rPr>
                <w:sz w:val="18"/>
                <w:szCs w:val="18"/>
              </w:rPr>
            </w:pPr>
            <w:r>
              <w:rPr>
                <w:sz w:val="18"/>
                <w:szCs w:val="18"/>
              </w:rPr>
              <w:t>Creation of procedure</w:t>
            </w:r>
          </w:p>
        </w:tc>
        <w:tc>
          <w:tcPr>
            <w:tcW w:w="3770" w:type="dxa"/>
          </w:tcPr>
          <w:p w:rsidR="002F648E" w:rsidRPr="008B6CCA" w:rsidRDefault="002F648E" w:rsidP="007B392A">
            <w:pPr>
              <w:pStyle w:val="VersionHistorytext"/>
            </w:pPr>
            <w:r>
              <w:t>02Oct2015 (Chris Lourens, Joel Tarning)</w:t>
            </w:r>
          </w:p>
        </w:tc>
      </w:tr>
      <w:tr w:rsidR="002F648E" w:rsidTr="007B392A">
        <w:tc>
          <w:tcPr>
            <w:tcW w:w="1333" w:type="dxa"/>
            <w:shd w:val="clear" w:color="auto" w:fill="FFFFFF"/>
          </w:tcPr>
          <w:p w:rsidR="002F648E" w:rsidRPr="008B6CCA" w:rsidRDefault="002F648E" w:rsidP="007B392A">
            <w:pPr>
              <w:pStyle w:val="SectionSubtitle"/>
              <w:rPr>
                <w:sz w:val="18"/>
                <w:szCs w:val="18"/>
              </w:rPr>
            </w:pPr>
            <w:r>
              <w:rPr>
                <w:sz w:val="18"/>
                <w:szCs w:val="18"/>
              </w:rPr>
              <w:t>2.0</w:t>
            </w:r>
          </w:p>
        </w:tc>
        <w:tc>
          <w:tcPr>
            <w:tcW w:w="3119" w:type="dxa"/>
            <w:shd w:val="clear" w:color="auto" w:fill="FFFFFF"/>
          </w:tcPr>
          <w:p w:rsidR="002F648E" w:rsidRPr="008B6CCA" w:rsidRDefault="002F648E" w:rsidP="007B392A">
            <w:pPr>
              <w:pStyle w:val="SectionSubtitle"/>
              <w:rPr>
                <w:sz w:val="18"/>
                <w:szCs w:val="18"/>
              </w:rPr>
            </w:pPr>
            <w:r w:rsidRPr="007C1340">
              <w:rPr>
                <w:sz w:val="18"/>
                <w:szCs w:val="18"/>
              </w:rPr>
              <w:t>Updated nomenclature, other minor administrative changes</w:t>
            </w:r>
          </w:p>
        </w:tc>
        <w:tc>
          <w:tcPr>
            <w:tcW w:w="3770" w:type="dxa"/>
            <w:shd w:val="clear" w:color="auto" w:fill="FFFFFF"/>
          </w:tcPr>
          <w:p w:rsidR="002F648E" w:rsidRPr="008B6CCA" w:rsidRDefault="002F648E" w:rsidP="007B392A">
            <w:pPr>
              <w:pStyle w:val="SectionSubtitle"/>
              <w:rPr>
                <w:sz w:val="18"/>
                <w:szCs w:val="18"/>
              </w:rPr>
            </w:pPr>
            <w:r>
              <w:rPr>
                <w:sz w:val="18"/>
                <w:szCs w:val="18"/>
              </w:rPr>
              <w:t>14Sep2018</w:t>
            </w:r>
          </w:p>
        </w:tc>
      </w:tr>
    </w:tbl>
    <w:p w:rsidR="002F648E" w:rsidRPr="0039615D" w:rsidRDefault="002F648E" w:rsidP="002F648E">
      <w:pPr>
        <w:pStyle w:val="SectionSubtitle"/>
      </w:pPr>
    </w:p>
    <w:p w:rsidR="002F648E" w:rsidRPr="0039615D" w:rsidRDefault="002F648E" w:rsidP="002F648E">
      <w:pPr>
        <w:pStyle w:val="SectionSubtitle"/>
      </w:pPr>
      <w:r w:rsidRPr="0039615D">
        <w:t xml:space="preserve">For more information, contact: </w:t>
      </w:r>
      <w:r w:rsidRPr="0039615D">
        <w:tab/>
      </w:r>
    </w:p>
    <w:p w:rsidR="002F648E" w:rsidRPr="0039615D" w:rsidRDefault="002F648E" w:rsidP="002F648E">
      <w:r>
        <w:t>info@wwarn.org</w:t>
      </w:r>
    </w:p>
    <w:p w:rsidR="002F648E" w:rsidRPr="0039615D" w:rsidRDefault="002F648E" w:rsidP="002F648E">
      <w:pPr>
        <w:pStyle w:val="SectionSubtitle"/>
      </w:pPr>
    </w:p>
    <w:p w:rsidR="002F648E" w:rsidRPr="00D8490A" w:rsidRDefault="002F648E" w:rsidP="002F648E">
      <w:pPr>
        <w:pStyle w:val="Figurecaptions"/>
      </w:pPr>
      <w:proofErr w:type="spellStart"/>
      <w:r w:rsidRPr="0039615D">
        <w:t>WorldWide</w:t>
      </w:r>
      <w:proofErr w:type="spellEnd"/>
      <w:r w:rsidRPr="0039615D">
        <w:t xml:space="preserve"> Antimalarial Resistance Network (WWARN)</w:t>
      </w:r>
      <w:r>
        <w:t xml:space="preserve">                                                                                                                                                                                                                                                                                                                                                                                                                                        </w:t>
      </w:r>
      <w:hyperlink r:id="rId12" w:history="1">
        <w:r w:rsidRPr="0097524A">
          <w:rPr>
            <w:rStyle w:val="Hyperlink"/>
          </w:rPr>
          <w:t>www.wwarn.org</w:t>
        </w:r>
      </w:hyperlink>
    </w:p>
    <w:p w:rsidR="002F648E" w:rsidRPr="001869FD" w:rsidRDefault="002F648E" w:rsidP="002F648E">
      <w:r w:rsidRPr="001869FD">
        <w:br w:type="page"/>
      </w:r>
    </w:p>
    <w:bookmarkEnd w:id="1"/>
    <w:p w:rsidR="001D5DB1" w:rsidRPr="00D87B39" w:rsidRDefault="001D5DB1" w:rsidP="00D87B39">
      <w:pPr>
        <w:pStyle w:val="StyleTOCHeadingCustomColorRGB244182111"/>
      </w:pPr>
      <w:r w:rsidRPr="008F0497">
        <w:lastRenderedPageBreak/>
        <w:t>Contents</w:t>
      </w:r>
    </w:p>
    <w:p w:rsidR="001D5DB1" w:rsidRPr="001D5DB1" w:rsidRDefault="001D5DB1" w:rsidP="001D5DB1"/>
    <w:bookmarkStart w:id="2" w:name="_GoBack"/>
    <w:bookmarkEnd w:id="2"/>
    <w:p w:rsidR="00E607CA" w:rsidRDefault="000868A5">
      <w:pPr>
        <w:pStyle w:val="TOC1"/>
        <w:tabs>
          <w:tab w:val="right" w:leader="dot" w:pos="8290"/>
        </w:tabs>
        <w:rPr>
          <w:rFonts w:asciiTheme="minorHAnsi" w:eastAsiaTheme="minorEastAsia" w:hAnsiTheme="minorHAnsi" w:cstheme="minorBidi"/>
          <w:noProof/>
          <w:sz w:val="22"/>
          <w:szCs w:val="22"/>
        </w:rPr>
      </w:pPr>
      <w:r>
        <w:fldChar w:fldCharType="begin"/>
      </w:r>
      <w:r w:rsidR="001D5DB1">
        <w:instrText xml:space="preserve"> TOC \o "1-3" \h \z \u </w:instrText>
      </w:r>
      <w:r>
        <w:fldChar w:fldCharType="separate"/>
      </w:r>
      <w:hyperlink w:anchor="_Toc524773477" w:history="1">
        <w:r w:rsidR="00E607CA" w:rsidRPr="009039B0">
          <w:rPr>
            <w:rStyle w:val="Hyperlink"/>
            <w:noProof/>
          </w:rPr>
          <w:t>1. Purpose</w:t>
        </w:r>
        <w:r w:rsidR="00E607CA">
          <w:rPr>
            <w:noProof/>
            <w:webHidden/>
          </w:rPr>
          <w:tab/>
        </w:r>
        <w:r w:rsidR="00E607CA">
          <w:rPr>
            <w:noProof/>
            <w:webHidden/>
          </w:rPr>
          <w:fldChar w:fldCharType="begin"/>
        </w:r>
        <w:r w:rsidR="00E607CA">
          <w:rPr>
            <w:noProof/>
            <w:webHidden/>
          </w:rPr>
          <w:instrText xml:space="preserve"> PAGEREF _Toc524773477 \h </w:instrText>
        </w:r>
        <w:r w:rsidR="00E607CA">
          <w:rPr>
            <w:noProof/>
            <w:webHidden/>
          </w:rPr>
        </w:r>
        <w:r w:rsidR="00E607CA">
          <w:rPr>
            <w:noProof/>
            <w:webHidden/>
          </w:rPr>
          <w:fldChar w:fldCharType="separate"/>
        </w:r>
        <w:r w:rsidR="00E607CA">
          <w:rPr>
            <w:noProof/>
            <w:webHidden/>
          </w:rPr>
          <w:t>4</w:t>
        </w:r>
        <w:r w:rsidR="00E607CA">
          <w:rPr>
            <w:noProof/>
            <w:webHidden/>
          </w:rPr>
          <w:fldChar w:fldCharType="end"/>
        </w:r>
      </w:hyperlink>
    </w:p>
    <w:p w:rsidR="00E607CA" w:rsidRDefault="00E607CA">
      <w:pPr>
        <w:pStyle w:val="TOC1"/>
        <w:tabs>
          <w:tab w:val="right" w:leader="dot" w:pos="8290"/>
        </w:tabs>
        <w:rPr>
          <w:rFonts w:asciiTheme="minorHAnsi" w:eastAsiaTheme="minorEastAsia" w:hAnsiTheme="minorHAnsi" w:cstheme="minorBidi"/>
          <w:noProof/>
          <w:sz w:val="22"/>
          <w:szCs w:val="22"/>
        </w:rPr>
      </w:pPr>
      <w:hyperlink w:anchor="_Toc524773478" w:history="1">
        <w:r w:rsidRPr="009039B0">
          <w:rPr>
            <w:rStyle w:val="Hyperlink"/>
            <w:noProof/>
          </w:rPr>
          <w:t>2. Scope</w:t>
        </w:r>
        <w:r>
          <w:rPr>
            <w:noProof/>
            <w:webHidden/>
          </w:rPr>
          <w:tab/>
        </w:r>
        <w:r>
          <w:rPr>
            <w:noProof/>
            <w:webHidden/>
          </w:rPr>
          <w:fldChar w:fldCharType="begin"/>
        </w:r>
        <w:r>
          <w:rPr>
            <w:noProof/>
            <w:webHidden/>
          </w:rPr>
          <w:instrText xml:space="preserve"> PAGEREF _Toc524773478 \h </w:instrText>
        </w:r>
        <w:r>
          <w:rPr>
            <w:noProof/>
            <w:webHidden/>
          </w:rPr>
        </w:r>
        <w:r>
          <w:rPr>
            <w:noProof/>
            <w:webHidden/>
          </w:rPr>
          <w:fldChar w:fldCharType="separate"/>
        </w:r>
        <w:r>
          <w:rPr>
            <w:noProof/>
            <w:webHidden/>
          </w:rPr>
          <w:t>4</w:t>
        </w:r>
        <w:r>
          <w:rPr>
            <w:noProof/>
            <w:webHidden/>
          </w:rPr>
          <w:fldChar w:fldCharType="end"/>
        </w:r>
      </w:hyperlink>
    </w:p>
    <w:p w:rsidR="00E607CA" w:rsidRDefault="00E607CA">
      <w:pPr>
        <w:pStyle w:val="TOC1"/>
        <w:tabs>
          <w:tab w:val="right" w:leader="dot" w:pos="8290"/>
        </w:tabs>
        <w:rPr>
          <w:rFonts w:asciiTheme="minorHAnsi" w:eastAsiaTheme="minorEastAsia" w:hAnsiTheme="minorHAnsi" w:cstheme="minorBidi"/>
          <w:noProof/>
          <w:sz w:val="22"/>
          <w:szCs w:val="22"/>
        </w:rPr>
      </w:pPr>
      <w:hyperlink w:anchor="_Toc524773479" w:history="1">
        <w:r w:rsidRPr="009039B0">
          <w:rPr>
            <w:rStyle w:val="Hyperlink"/>
            <w:noProof/>
          </w:rPr>
          <w:t>3. Abbreviations</w:t>
        </w:r>
        <w:r>
          <w:rPr>
            <w:noProof/>
            <w:webHidden/>
          </w:rPr>
          <w:tab/>
        </w:r>
        <w:r>
          <w:rPr>
            <w:noProof/>
            <w:webHidden/>
          </w:rPr>
          <w:fldChar w:fldCharType="begin"/>
        </w:r>
        <w:r>
          <w:rPr>
            <w:noProof/>
            <w:webHidden/>
          </w:rPr>
          <w:instrText xml:space="preserve"> PAGEREF _Toc524773479 \h </w:instrText>
        </w:r>
        <w:r>
          <w:rPr>
            <w:noProof/>
            <w:webHidden/>
          </w:rPr>
        </w:r>
        <w:r>
          <w:rPr>
            <w:noProof/>
            <w:webHidden/>
          </w:rPr>
          <w:fldChar w:fldCharType="separate"/>
        </w:r>
        <w:r>
          <w:rPr>
            <w:noProof/>
            <w:webHidden/>
          </w:rPr>
          <w:t>4</w:t>
        </w:r>
        <w:r>
          <w:rPr>
            <w:noProof/>
            <w:webHidden/>
          </w:rPr>
          <w:fldChar w:fldCharType="end"/>
        </w:r>
      </w:hyperlink>
    </w:p>
    <w:p w:rsidR="00E607CA" w:rsidRDefault="00E607CA">
      <w:pPr>
        <w:pStyle w:val="TOC1"/>
        <w:tabs>
          <w:tab w:val="right" w:leader="dot" w:pos="8290"/>
        </w:tabs>
        <w:rPr>
          <w:rFonts w:asciiTheme="minorHAnsi" w:eastAsiaTheme="minorEastAsia" w:hAnsiTheme="minorHAnsi" w:cstheme="minorBidi"/>
          <w:noProof/>
          <w:sz w:val="22"/>
          <w:szCs w:val="22"/>
        </w:rPr>
      </w:pPr>
      <w:hyperlink w:anchor="_Toc524773480" w:history="1">
        <w:r w:rsidRPr="009039B0">
          <w:rPr>
            <w:rStyle w:val="Hyperlink"/>
            <w:noProof/>
          </w:rPr>
          <w:t>4. Duties and responsibilities</w:t>
        </w:r>
        <w:r>
          <w:rPr>
            <w:noProof/>
            <w:webHidden/>
          </w:rPr>
          <w:tab/>
        </w:r>
        <w:r>
          <w:rPr>
            <w:noProof/>
            <w:webHidden/>
          </w:rPr>
          <w:fldChar w:fldCharType="begin"/>
        </w:r>
        <w:r>
          <w:rPr>
            <w:noProof/>
            <w:webHidden/>
          </w:rPr>
          <w:instrText xml:space="preserve"> PAGEREF _Toc524773480 \h </w:instrText>
        </w:r>
        <w:r>
          <w:rPr>
            <w:noProof/>
            <w:webHidden/>
          </w:rPr>
        </w:r>
        <w:r>
          <w:rPr>
            <w:noProof/>
            <w:webHidden/>
          </w:rPr>
          <w:fldChar w:fldCharType="separate"/>
        </w:r>
        <w:r>
          <w:rPr>
            <w:noProof/>
            <w:webHidden/>
          </w:rPr>
          <w:t>4</w:t>
        </w:r>
        <w:r>
          <w:rPr>
            <w:noProof/>
            <w:webHidden/>
          </w:rPr>
          <w:fldChar w:fldCharType="end"/>
        </w:r>
      </w:hyperlink>
    </w:p>
    <w:p w:rsidR="00E607CA" w:rsidRDefault="00E607CA">
      <w:pPr>
        <w:pStyle w:val="TOC1"/>
        <w:tabs>
          <w:tab w:val="right" w:leader="dot" w:pos="8290"/>
        </w:tabs>
        <w:rPr>
          <w:rFonts w:asciiTheme="minorHAnsi" w:eastAsiaTheme="minorEastAsia" w:hAnsiTheme="minorHAnsi" w:cstheme="minorBidi"/>
          <w:noProof/>
          <w:sz w:val="22"/>
          <w:szCs w:val="22"/>
        </w:rPr>
      </w:pPr>
      <w:hyperlink w:anchor="_Toc524773481" w:history="1">
        <w:r w:rsidRPr="009039B0">
          <w:rPr>
            <w:rStyle w:val="Hyperlink"/>
            <w:noProof/>
          </w:rPr>
          <w:t>5. Materials</w:t>
        </w:r>
        <w:r>
          <w:rPr>
            <w:noProof/>
            <w:webHidden/>
          </w:rPr>
          <w:tab/>
        </w:r>
        <w:r>
          <w:rPr>
            <w:noProof/>
            <w:webHidden/>
          </w:rPr>
          <w:fldChar w:fldCharType="begin"/>
        </w:r>
        <w:r>
          <w:rPr>
            <w:noProof/>
            <w:webHidden/>
          </w:rPr>
          <w:instrText xml:space="preserve"> PAGEREF _Toc524773481 \h </w:instrText>
        </w:r>
        <w:r>
          <w:rPr>
            <w:noProof/>
            <w:webHidden/>
          </w:rPr>
        </w:r>
        <w:r>
          <w:rPr>
            <w:noProof/>
            <w:webHidden/>
          </w:rPr>
          <w:fldChar w:fldCharType="separate"/>
        </w:r>
        <w:r>
          <w:rPr>
            <w:noProof/>
            <w:webHidden/>
          </w:rPr>
          <w:t>4</w:t>
        </w:r>
        <w:r>
          <w:rPr>
            <w:noProof/>
            <w:webHidden/>
          </w:rPr>
          <w:fldChar w:fldCharType="end"/>
        </w:r>
      </w:hyperlink>
    </w:p>
    <w:p w:rsidR="00E607CA" w:rsidRDefault="00E607CA">
      <w:pPr>
        <w:pStyle w:val="TOC1"/>
        <w:tabs>
          <w:tab w:val="right" w:leader="dot" w:pos="8290"/>
        </w:tabs>
        <w:rPr>
          <w:rFonts w:asciiTheme="minorHAnsi" w:eastAsiaTheme="minorEastAsia" w:hAnsiTheme="minorHAnsi" w:cstheme="minorBidi"/>
          <w:noProof/>
          <w:sz w:val="22"/>
          <w:szCs w:val="22"/>
        </w:rPr>
      </w:pPr>
      <w:hyperlink w:anchor="_Toc524773482" w:history="1">
        <w:r w:rsidRPr="009039B0">
          <w:rPr>
            <w:rStyle w:val="Hyperlink"/>
            <w:noProof/>
          </w:rPr>
          <w:t>6. Procedure</w:t>
        </w:r>
        <w:r>
          <w:rPr>
            <w:noProof/>
            <w:webHidden/>
          </w:rPr>
          <w:tab/>
        </w:r>
        <w:r>
          <w:rPr>
            <w:noProof/>
            <w:webHidden/>
          </w:rPr>
          <w:fldChar w:fldCharType="begin"/>
        </w:r>
        <w:r>
          <w:rPr>
            <w:noProof/>
            <w:webHidden/>
          </w:rPr>
          <w:instrText xml:space="preserve"> PAGEREF _Toc524773482 \h </w:instrText>
        </w:r>
        <w:r>
          <w:rPr>
            <w:noProof/>
            <w:webHidden/>
          </w:rPr>
        </w:r>
        <w:r>
          <w:rPr>
            <w:noProof/>
            <w:webHidden/>
          </w:rPr>
          <w:fldChar w:fldCharType="separate"/>
        </w:r>
        <w:r>
          <w:rPr>
            <w:noProof/>
            <w:webHidden/>
          </w:rPr>
          <w:t>5</w:t>
        </w:r>
        <w:r>
          <w:rPr>
            <w:noProof/>
            <w:webHidden/>
          </w:rPr>
          <w:fldChar w:fldCharType="end"/>
        </w:r>
      </w:hyperlink>
    </w:p>
    <w:p w:rsidR="00E607CA" w:rsidRDefault="00E607CA">
      <w:pPr>
        <w:pStyle w:val="TOC1"/>
        <w:tabs>
          <w:tab w:val="right" w:leader="dot" w:pos="8290"/>
        </w:tabs>
        <w:rPr>
          <w:rFonts w:asciiTheme="minorHAnsi" w:eastAsiaTheme="minorEastAsia" w:hAnsiTheme="minorHAnsi" w:cstheme="minorBidi"/>
          <w:noProof/>
          <w:sz w:val="22"/>
          <w:szCs w:val="22"/>
        </w:rPr>
      </w:pPr>
      <w:hyperlink w:anchor="_Toc524773483" w:history="1">
        <w:r w:rsidRPr="009039B0">
          <w:rPr>
            <w:rStyle w:val="Hyperlink"/>
            <w:noProof/>
          </w:rPr>
          <w:t>7. Sampling times</w:t>
        </w:r>
        <w:r>
          <w:rPr>
            <w:noProof/>
            <w:webHidden/>
          </w:rPr>
          <w:tab/>
        </w:r>
        <w:r>
          <w:rPr>
            <w:noProof/>
            <w:webHidden/>
          </w:rPr>
          <w:fldChar w:fldCharType="begin"/>
        </w:r>
        <w:r>
          <w:rPr>
            <w:noProof/>
            <w:webHidden/>
          </w:rPr>
          <w:instrText xml:space="preserve"> PAGEREF _Toc524773483 \h </w:instrText>
        </w:r>
        <w:r>
          <w:rPr>
            <w:noProof/>
            <w:webHidden/>
          </w:rPr>
        </w:r>
        <w:r>
          <w:rPr>
            <w:noProof/>
            <w:webHidden/>
          </w:rPr>
          <w:fldChar w:fldCharType="separate"/>
        </w:r>
        <w:r>
          <w:rPr>
            <w:noProof/>
            <w:webHidden/>
          </w:rPr>
          <w:t>5</w:t>
        </w:r>
        <w:r>
          <w:rPr>
            <w:noProof/>
            <w:webHidden/>
          </w:rPr>
          <w:fldChar w:fldCharType="end"/>
        </w:r>
      </w:hyperlink>
    </w:p>
    <w:p w:rsidR="00E607CA" w:rsidRDefault="00E607CA">
      <w:pPr>
        <w:pStyle w:val="TOC1"/>
        <w:tabs>
          <w:tab w:val="right" w:leader="dot" w:pos="8290"/>
        </w:tabs>
        <w:rPr>
          <w:rFonts w:asciiTheme="minorHAnsi" w:eastAsiaTheme="minorEastAsia" w:hAnsiTheme="minorHAnsi" w:cstheme="minorBidi"/>
          <w:noProof/>
          <w:sz w:val="22"/>
          <w:szCs w:val="22"/>
        </w:rPr>
      </w:pPr>
      <w:hyperlink w:anchor="_Toc524773484" w:history="1">
        <w:r w:rsidRPr="009039B0">
          <w:rPr>
            <w:rStyle w:val="Hyperlink"/>
            <w:noProof/>
          </w:rPr>
          <w:t>8. Stability</w:t>
        </w:r>
        <w:r>
          <w:rPr>
            <w:noProof/>
            <w:webHidden/>
          </w:rPr>
          <w:tab/>
        </w:r>
        <w:r>
          <w:rPr>
            <w:noProof/>
            <w:webHidden/>
          </w:rPr>
          <w:fldChar w:fldCharType="begin"/>
        </w:r>
        <w:r>
          <w:rPr>
            <w:noProof/>
            <w:webHidden/>
          </w:rPr>
          <w:instrText xml:space="preserve"> PAGEREF _Toc524773484 \h </w:instrText>
        </w:r>
        <w:r>
          <w:rPr>
            <w:noProof/>
            <w:webHidden/>
          </w:rPr>
        </w:r>
        <w:r>
          <w:rPr>
            <w:noProof/>
            <w:webHidden/>
          </w:rPr>
          <w:fldChar w:fldCharType="separate"/>
        </w:r>
        <w:r>
          <w:rPr>
            <w:noProof/>
            <w:webHidden/>
          </w:rPr>
          <w:t>6</w:t>
        </w:r>
        <w:r>
          <w:rPr>
            <w:noProof/>
            <w:webHidden/>
          </w:rPr>
          <w:fldChar w:fldCharType="end"/>
        </w:r>
      </w:hyperlink>
    </w:p>
    <w:p w:rsidR="00E607CA" w:rsidRDefault="00E607CA">
      <w:pPr>
        <w:pStyle w:val="TOC1"/>
        <w:tabs>
          <w:tab w:val="right" w:leader="dot" w:pos="8290"/>
        </w:tabs>
        <w:rPr>
          <w:rFonts w:asciiTheme="minorHAnsi" w:eastAsiaTheme="minorEastAsia" w:hAnsiTheme="minorHAnsi" w:cstheme="minorBidi"/>
          <w:noProof/>
          <w:sz w:val="22"/>
          <w:szCs w:val="22"/>
        </w:rPr>
      </w:pPr>
      <w:hyperlink w:anchor="_Toc524773485" w:history="1">
        <w:r w:rsidRPr="009039B0">
          <w:rPr>
            <w:rStyle w:val="Hyperlink"/>
            <w:noProof/>
          </w:rPr>
          <w:t>9. Reference</w:t>
        </w:r>
        <w:r>
          <w:rPr>
            <w:noProof/>
            <w:webHidden/>
          </w:rPr>
          <w:tab/>
        </w:r>
        <w:r>
          <w:rPr>
            <w:noProof/>
            <w:webHidden/>
          </w:rPr>
          <w:fldChar w:fldCharType="begin"/>
        </w:r>
        <w:r>
          <w:rPr>
            <w:noProof/>
            <w:webHidden/>
          </w:rPr>
          <w:instrText xml:space="preserve"> PAGEREF _Toc524773485 \h </w:instrText>
        </w:r>
        <w:r>
          <w:rPr>
            <w:noProof/>
            <w:webHidden/>
          </w:rPr>
        </w:r>
        <w:r>
          <w:rPr>
            <w:noProof/>
            <w:webHidden/>
          </w:rPr>
          <w:fldChar w:fldCharType="separate"/>
        </w:r>
        <w:r>
          <w:rPr>
            <w:noProof/>
            <w:webHidden/>
          </w:rPr>
          <w:t>6</w:t>
        </w:r>
        <w:r>
          <w:rPr>
            <w:noProof/>
            <w:webHidden/>
          </w:rPr>
          <w:fldChar w:fldCharType="end"/>
        </w:r>
      </w:hyperlink>
    </w:p>
    <w:p w:rsidR="008B6CCA" w:rsidRDefault="000868A5" w:rsidP="001D5DB1">
      <w:r>
        <w:fldChar w:fldCharType="end"/>
      </w:r>
    </w:p>
    <w:p w:rsidR="00602225" w:rsidRPr="0039615D" w:rsidRDefault="001D5DB1" w:rsidP="007518F6">
      <w:pPr>
        <w:pStyle w:val="Heading1"/>
      </w:pPr>
      <w:r>
        <w:br w:type="page"/>
      </w:r>
      <w:bookmarkStart w:id="3" w:name="_Toc260922230"/>
      <w:bookmarkStart w:id="4" w:name="_Toc524773477"/>
      <w:r w:rsidR="00602225" w:rsidRPr="0039615D">
        <w:lastRenderedPageBreak/>
        <w:t xml:space="preserve">1. </w:t>
      </w:r>
      <w:r w:rsidR="009A20D3" w:rsidRPr="008B6CCA">
        <w:t>Purpose</w:t>
      </w:r>
      <w:bookmarkEnd w:id="3"/>
      <w:bookmarkEnd w:id="4"/>
    </w:p>
    <w:p w:rsidR="00602225" w:rsidRPr="0097524A" w:rsidRDefault="007A6829" w:rsidP="00602225">
      <w:r w:rsidRPr="007A6829">
        <w:rPr>
          <w:lang w:val="en-GB"/>
        </w:rPr>
        <w:t xml:space="preserve">The purpose of this document is to standardize </w:t>
      </w:r>
      <w:r>
        <w:rPr>
          <w:lang w:val="en-GB"/>
        </w:rPr>
        <w:t xml:space="preserve">the sample </w:t>
      </w:r>
      <w:r w:rsidRPr="007A6829">
        <w:rPr>
          <w:lang w:val="en-GB"/>
        </w:rPr>
        <w:t xml:space="preserve">collection procedure during clinical studies of </w:t>
      </w:r>
      <w:r w:rsidR="00672E42">
        <w:rPr>
          <w:lang w:val="en-GB"/>
        </w:rPr>
        <w:t>p</w:t>
      </w:r>
      <w:r>
        <w:rPr>
          <w:lang w:val="en-GB"/>
        </w:rPr>
        <w:t>rimaquine</w:t>
      </w:r>
      <w:r w:rsidR="007B2796">
        <w:rPr>
          <w:lang w:val="en-GB"/>
        </w:rPr>
        <w:t xml:space="preserve"> / </w:t>
      </w:r>
      <w:proofErr w:type="spellStart"/>
      <w:r w:rsidR="007B2796">
        <w:rPr>
          <w:lang w:val="en-GB"/>
        </w:rPr>
        <w:t>carboxyprimaquine</w:t>
      </w:r>
      <w:proofErr w:type="spellEnd"/>
      <w:r>
        <w:rPr>
          <w:lang w:val="en-GB"/>
        </w:rPr>
        <w:t xml:space="preserve"> antimalarial drugs</w:t>
      </w:r>
      <w:r w:rsidRPr="007A6829">
        <w:rPr>
          <w:lang w:val="en-GB"/>
        </w:rPr>
        <w:t xml:space="preserve">. This should be considered as a recommendation, created by </w:t>
      </w:r>
      <w:r>
        <w:rPr>
          <w:lang w:val="en-GB"/>
        </w:rPr>
        <w:t>the Worldwide Antimalarial Resistance Network (WWARN)</w:t>
      </w:r>
      <w:r w:rsidRPr="007A6829">
        <w:rPr>
          <w:lang w:val="en-GB"/>
        </w:rPr>
        <w:t xml:space="preserve">, aiming to achieve homogeneous quality in the pre-analytical phase </w:t>
      </w:r>
      <w:r>
        <w:rPr>
          <w:lang w:val="en-GB"/>
        </w:rPr>
        <w:t>of studies and t</w:t>
      </w:r>
      <w:r w:rsidR="00ED4AE6">
        <w:t xml:space="preserve">o </w:t>
      </w:r>
      <w:r w:rsidR="000E34B2">
        <w:t>provide guidelines</w:t>
      </w:r>
      <w:r w:rsidR="004B54ED">
        <w:t xml:space="preserve"> </w:t>
      </w:r>
      <w:r w:rsidR="000E34B2">
        <w:t>in the processes of</w:t>
      </w:r>
      <w:r w:rsidR="00ED4AE6" w:rsidRPr="00C35CAA">
        <w:t xml:space="preserve"> </w:t>
      </w:r>
      <w:r w:rsidR="004B54ED">
        <w:t xml:space="preserve">collection, processing, preserving, storage, shipment and </w:t>
      </w:r>
      <w:r>
        <w:t>safe handling</w:t>
      </w:r>
      <w:r w:rsidR="00882EA0">
        <w:t xml:space="preserve"> of samples from human origin</w:t>
      </w:r>
      <w:r>
        <w:t>.</w:t>
      </w:r>
    </w:p>
    <w:p w:rsidR="00602225" w:rsidRPr="0097524A" w:rsidRDefault="00602225" w:rsidP="00602225"/>
    <w:p w:rsidR="00561930" w:rsidRDefault="00602225" w:rsidP="00561930">
      <w:pPr>
        <w:pStyle w:val="Heading1"/>
      </w:pPr>
      <w:bookmarkStart w:id="5" w:name="_Toc260922231"/>
      <w:bookmarkStart w:id="6" w:name="_Toc524773478"/>
      <w:r w:rsidRPr="0097524A">
        <w:t xml:space="preserve">2. </w:t>
      </w:r>
      <w:r w:rsidR="009A20D3">
        <w:t>Scope</w:t>
      </w:r>
      <w:bookmarkEnd w:id="5"/>
      <w:bookmarkEnd w:id="6"/>
    </w:p>
    <w:p w:rsidR="007A6829" w:rsidRDefault="003D7951" w:rsidP="003D7951">
      <w:r w:rsidRPr="00EB7C5F">
        <w:t xml:space="preserve">This document applies to </w:t>
      </w:r>
      <w:r w:rsidR="004B54ED">
        <w:t>those sites</w:t>
      </w:r>
      <w:r w:rsidR="00CA662F">
        <w:t xml:space="preserve"> wishing to conduct clinical trials to assess the influence of </w:t>
      </w:r>
      <w:r w:rsidR="00672E42">
        <w:t>p</w:t>
      </w:r>
      <w:r w:rsidR="00CA662F">
        <w:t>rimaquine</w:t>
      </w:r>
      <w:r w:rsidR="007B2796">
        <w:t xml:space="preserve"> / </w:t>
      </w:r>
      <w:proofErr w:type="spellStart"/>
      <w:r w:rsidR="007B2796">
        <w:t>carboxyprimaquine</w:t>
      </w:r>
      <w:proofErr w:type="spellEnd"/>
      <w:r w:rsidR="00CA662F">
        <w:t xml:space="preserve"> administration to support antimalarial drug investigation</w:t>
      </w:r>
      <w:r w:rsidRPr="00EB7C5F">
        <w:t>.</w:t>
      </w:r>
    </w:p>
    <w:p w:rsidR="007A6829" w:rsidRDefault="007A6829" w:rsidP="003D7951"/>
    <w:p w:rsidR="00BE16B5" w:rsidRPr="007A6829" w:rsidRDefault="007A6829" w:rsidP="003D7951">
      <w:pPr>
        <w:rPr>
          <w:rFonts w:asciiTheme="minorHAnsi" w:hAnsiTheme="minorHAnsi"/>
          <w:b/>
        </w:rPr>
      </w:pPr>
      <w:r w:rsidRPr="007A6829">
        <w:rPr>
          <w:b/>
          <w:u w:val="single"/>
        </w:rPr>
        <w:t>NOTE:</w:t>
      </w:r>
      <w:r>
        <w:rPr>
          <w:b/>
        </w:rPr>
        <w:t xml:space="preserve"> </w:t>
      </w:r>
      <w:r w:rsidRPr="007A6829">
        <w:rPr>
          <w:b/>
        </w:rPr>
        <w:t xml:space="preserve">It is </w:t>
      </w:r>
      <w:r w:rsidR="00A93DD2">
        <w:rPr>
          <w:b/>
        </w:rPr>
        <w:t>crucial</w:t>
      </w:r>
      <w:r w:rsidRPr="007A6829">
        <w:rPr>
          <w:b/>
        </w:rPr>
        <w:t xml:space="preserve"> to contact the analytical laboratory before commencement of the study to inquire about specific requirements of </w:t>
      </w:r>
      <w:r>
        <w:rPr>
          <w:b/>
        </w:rPr>
        <w:t>that</w:t>
      </w:r>
      <w:r w:rsidRPr="007A6829">
        <w:rPr>
          <w:b/>
        </w:rPr>
        <w:t xml:space="preserve"> </w:t>
      </w:r>
      <w:proofErr w:type="gramStart"/>
      <w:r w:rsidRPr="007A6829">
        <w:rPr>
          <w:b/>
        </w:rPr>
        <w:t>particular laboratory</w:t>
      </w:r>
      <w:proofErr w:type="gramEnd"/>
      <w:r w:rsidRPr="007A6829">
        <w:rPr>
          <w:b/>
        </w:rPr>
        <w:t>.</w:t>
      </w:r>
    </w:p>
    <w:p w:rsidR="00BE16B5" w:rsidRDefault="00BE16B5" w:rsidP="00BE16B5"/>
    <w:p w:rsidR="00602225" w:rsidRPr="0097524A" w:rsidRDefault="009A20D3" w:rsidP="00BE16B5">
      <w:pPr>
        <w:pStyle w:val="Heading1"/>
      </w:pPr>
      <w:bookmarkStart w:id="7" w:name="_Toc260922232"/>
      <w:bookmarkStart w:id="8" w:name="_Toc524773479"/>
      <w:r>
        <w:t xml:space="preserve">3. </w:t>
      </w:r>
      <w:r w:rsidR="00602225" w:rsidRPr="0097524A">
        <w:t>Abbreviations</w:t>
      </w:r>
      <w:bookmarkEnd w:id="7"/>
      <w:bookmarkEnd w:id="8"/>
    </w:p>
    <w:p w:rsidR="009E0ED3" w:rsidRDefault="009E0ED3" w:rsidP="009E0ED3">
      <w:r>
        <w:t>WWARN</w:t>
      </w:r>
      <w:r>
        <w:tab/>
        <w:t>Worldwide Antimalarial Resistance Network</w:t>
      </w:r>
    </w:p>
    <w:p w:rsidR="00602225" w:rsidRDefault="009E0ED3" w:rsidP="00602225">
      <w:r>
        <w:t>QA/QC</w:t>
      </w:r>
      <w:r w:rsidRPr="0097524A">
        <w:tab/>
      </w:r>
      <w:r w:rsidRPr="0097524A">
        <w:tab/>
      </w:r>
      <w:r>
        <w:t>Quality assurance / quality control</w:t>
      </w:r>
    </w:p>
    <w:p w:rsidR="00EE67BA" w:rsidRPr="0097524A" w:rsidRDefault="00EE67BA" w:rsidP="00602225">
      <w:r>
        <w:t>PRQ</w:t>
      </w:r>
      <w:r>
        <w:tab/>
      </w:r>
      <w:r>
        <w:tab/>
        <w:t>Primaquine</w:t>
      </w:r>
    </w:p>
    <w:p w:rsidR="00602225" w:rsidRDefault="007B2796" w:rsidP="00602225">
      <w:proofErr w:type="spellStart"/>
      <w:r>
        <w:t>PRQm</w:t>
      </w:r>
      <w:proofErr w:type="spellEnd"/>
      <w:r>
        <w:tab/>
      </w:r>
      <w:r>
        <w:tab/>
      </w:r>
      <w:proofErr w:type="spellStart"/>
      <w:r>
        <w:t>Carboxyprimaquine</w:t>
      </w:r>
      <w:proofErr w:type="spellEnd"/>
    </w:p>
    <w:p w:rsidR="002F648E" w:rsidRDefault="002F648E" w:rsidP="00602225"/>
    <w:p w:rsidR="00E3766A" w:rsidRDefault="00E607CA" w:rsidP="00E3766A">
      <w:pPr>
        <w:pStyle w:val="Heading1"/>
      </w:pPr>
      <w:bookmarkStart w:id="9" w:name="_Toc524773480"/>
      <w:r>
        <w:t>4. Duties and r</w:t>
      </w:r>
      <w:r w:rsidR="00E3766A">
        <w:t>esponsibilities</w:t>
      </w:r>
      <w:bookmarkEnd w:id="9"/>
    </w:p>
    <w:p w:rsidR="00882EA0" w:rsidRPr="00882EA0" w:rsidRDefault="00882EA0" w:rsidP="00882EA0">
      <w:pPr>
        <w:pStyle w:val="Pa17"/>
        <w:spacing w:before="100"/>
        <w:jc w:val="both"/>
        <w:rPr>
          <w:rFonts w:asciiTheme="minorHAnsi" w:hAnsiTheme="minorHAnsi"/>
          <w:lang w:val="en-GB" w:eastAsia="sv-SE"/>
        </w:rPr>
      </w:pPr>
      <w:r w:rsidRPr="00882EA0">
        <w:rPr>
          <w:rFonts w:asciiTheme="minorHAnsi" w:hAnsiTheme="minorHAnsi"/>
          <w:lang w:val="en-GB" w:eastAsia="sv-SE"/>
        </w:rPr>
        <w:t xml:space="preserve">The tasks to be completed for this procedure are listed below. Each of these must be assigned to an individual(s) who has been trained to perform these tasks and in the use of relevant health and safety precautions. </w:t>
      </w:r>
    </w:p>
    <w:p w:rsidR="00882EA0" w:rsidRDefault="00882EA0" w:rsidP="00710609">
      <w:pPr>
        <w:pStyle w:val="Default"/>
        <w:numPr>
          <w:ilvl w:val="0"/>
          <w:numId w:val="3"/>
        </w:numPr>
        <w:spacing w:after="23"/>
        <w:rPr>
          <w:rFonts w:asciiTheme="minorHAnsi" w:hAnsiTheme="minorHAnsi" w:cs="Times New Roman"/>
          <w:color w:val="auto"/>
          <w:lang w:val="en-GB" w:eastAsia="sv-SE"/>
        </w:rPr>
      </w:pPr>
      <w:r>
        <w:rPr>
          <w:rFonts w:asciiTheme="minorHAnsi" w:hAnsiTheme="minorHAnsi" w:cs="Times New Roman"/>
          <w:color w:val="auto"/>
          <w:lang w:val="en-GB" w:eastAsia="sv-SE"/>
        </w:rPr>
        <w:t>Proper identification of patient and matching samples</w:t>
      </w:r>
    </w:p>
    <w:p w:rsidR="00882EA0" w:rsidRPr="00882EA0" w:rsidRDefault="00882EA0" w:rsidP="00710609">
      <w:pPr>
        <w:pStyle w:val="Default"/>
        <w:numPr>
          <w:ilvl w:val="0"/>
          <w:numId w:val="3"/>
        </w:numPr>
        <w:spacing w:after="23"/>
        <w:rPr>
          <w:rFonts w:asciiTheme="minorHAnsi" w:hAnsiTheme="minorHAnsi" w:cs="Times New Roman"/>
          <w:color w:val="auto"/>
          <w:lang w:val="en-GB" w:eastAsia="sv-SE"/>
        </w:rPr>
      </w:pPr>
      <w:r>
        <w:rPr>
          <w:rFonts w:asciiTheme="minorHAnsi" w:hAnsiTheme="minorHAnsi" w:cs="Times New Roman"/>
          <w:color w:val="auto"/>
          <w:lang w:val="en-GB" w:eastAsia="sv-SE"/>
        </w:rPr>
        <w:t>Collection of samples</w:t>
      </w:r>
    </w:p>
    <w:p w:rsidR="00882EA0" w:rsidRDefault="00882EA0" w:rsidP="00710609">
      <w:pPr>
        <w:pStyle w:val="Default"/>
        <w:numPr>
          <w:ilvl w:val="0"/>
          <w:numId w:val="3"/>
        </w:numPr>
        <w:rPr>
          <w:rFonts w:asciiTheme="minorHAnsi" w:hAnsiTheme="minorHAnsi" w:cs="Times New Roman"/>
          <w:color w:val="auto"/>
          <w:lang w:val="en-GB" w:eastAsia="sv-SE"/>
        </w:rPr>
      </w:pPr>
      <w:r>
        <w:rPr>
          <w:rFonts w:asciiTheme="minorHAnsi" w:hAnsiTheme="minorHAnsi" w:cs="Times New Roman"/>
          <w:color w:val="auto"/>
          <w:lang w:val="en-GB" w:eastAsia="sv-SE"/>
        </w:rPr>
        <w:t>Processing of samples</w:t>
      </w:r>
    </w:p>
    <w:p w:rsidR="00257DF3" w:rsidRPr="00E3766A" w:rsidRDefault="00257DF3" w:rsidP="00E3766A"/>
    <w:p w:rsidR="00602225" w:rsidRDefault="00E3766A" w:rsidP="00204FCA">
      <w:pPr>
        <w:pStyle w:val="Heading1"/>
      </w:pPr>
      <w:bookmarkStart w:id="10" w:name="_Toc260922233"/>
      <w:bookmarkStart w:id="11" w:name="_Toc524773481"/>
      <w:r>
        <w:t>5</w:t>
      </w:r>
      <w:r w:rsidR="00602225" w:rsidRPr="0097524A">
        <w:t xml:space="preserve">. </w:t>
      </w:r>
      <w:bookmarkEnd w:id="10"/>
      <w:r w:rsidR="00B42D09">
        <w:t>Materials</w:t>
      </w:r>
      <w:bookmarkEnd w:id="11"/>
    </w:p>
    <w:p w:rsidR="00ED4AE6" w:rsidRDefault="00B42D09" w:rsidP="00ED4AE6">
      <w:pPr>
        <w:pStyle w:val="BodyText"/>
        <w:ind w:left="0"/>
        <w:rPr>
          <w:rFonts w:asciiTheme="minorHAnsi" w:hAnsiTheme="minorHAnsi"/>
        </w:rPr>
      </w:pPr>
      <w:r>
        <w:rPr>
          <w:rFonts w:asciiTheme="minorHAnsi" w:hAnsiTheme="minorHAnsi"/>
        </w:rPr>
        <w:t>S</w:t>
      </w:r>
      <w:r w:rsidR="007B2796">
        <w:rPr>
          <w:rFonts w:asciiTheme="minorHAnsi" w:hAnsiTheme="minorHAnsi"/>
        </w:rPr>
        <w:t>amples for pharmacology analysis of P</w:t>
      </w:r>
      <w:r w:rsidR="00F7114F">
        <w:rPr>
          <w:rFonts w:asciiTheme="minorHAnsi" w:hAnsiTheme="minorHAnsi"/>
        </w:rPr>
        <w:t>RQ</w:t>
      </w:r>
      <w:r>
        <w:rPr>
          <w:rFonts w:asciiTheme="minorHAnsi" w:hAnsiTheme="minorHAnsi"/>
        </w:rPr>
        <w:t xml:space="preserve"> / </w:t>
      </w:r>
      <w:proofErr w:type="spellStart"/>
      <w:r w:rsidR="00F7114F">
        <w:rPr>
          <w:rFonts w:asciiTheme="minorHAnsi" w:hAnsiTheme="minorHAnsi"/>
        </w:rPr>
        <w:t>PRQm</w:t>
      </w:r>
      <w:proofErr w:type="spellEnd"/>
      <w:r>
        <w:rPr>
          <w:rFonts w:asciiTheme="minorHAnsi" w:hAnsiTheme="minorHAnsi"/>
        </w:rPr>
        <w:t xml:space="preserve"> must</w:t>
      </w:r>
      <w:r w:rsidR="007B2796">
        <w:rPr>
          <w:rFonts w:asciiTheme="minorHAnsi" w:hAnsiTheme="minorHAnsi"/>
        </w:rPr>
        <w:t xml:space="preserve"> be collected in plastic containers and transferred to polypropylene cryovials for transportation and storage.</w:t>
      </w:r>
      <w:r w:rsidR="0032538D">
        <w:rPr>
          <w:rFonts w:asciiTheme="minorHAnsi" w:hAnsiTheme="minorHAnsi"/>
        </w:rPr>
        <w:t xml:space="preserve"> </w:t>
      </w:r>
      <w:r w:rsidR="0032538D" w:rsidRPr="0032538D">
        <w:rPr>
          <w:rFonts w:asciiTheme="minorHAnsi" w:hAnsiTheme="minorHAnsi"/>
          <w:lang w:val="sv-SE"/>
        </w:rPr>
        <w:t>The tube should be at room temperature (18°- 25° C) prior to use.</w:t>
      </w:r>
      <w:r w:rsidR="007067A5">
        <w:rPr>
          <w:rFonts w:asciiTheme="minorHAnsi" w:hAnsiTheme="minorHAnsi"/>
        </w:rPr>
        <w:t xml:space="preserve"> Use of plastic sampling and storage containers minimizes the risk for analyte adsorption and improves safety at the site.</w:t>
      </w:r>
    </w:p>
    <w:p w:rsidR="000A0073" w:rsidRDefault="000A0073" w:rsidP="00ED4AE6">
      <w:pPr>
        <w:pStyle w:val="BodyText"/>
        <w:ind w:left="0"/>
        <w:rPr>
          <w:rFonts w:asciiTheme="minorHAnsi" w:hAnsiTheme="minorHAnsi"/>
        </w:rPr>
      </w:pPr>
    </w:p>
    <w:p w:rsidR="000A0073" w:rsidRDefault="000A0073" w:rsidP="00ED4AE6">
      <w:pPr>
        <w:pStyle w:val="BodyText"/>
        <w:ind w:left="0"/>
        <w:rPr>
          <w:rFonts w:asciiTheme="minorHAnsi" w:hAnsiTheme="minorHAnsi"/>
        </w:rPr>
      </w:pPr>
      <w:r>
        <w:rPr>
          <w:rFonts w:asciiTheme="minorHAnsi" w:hAnsiTheme="minorHAnsi"/>
        </w:rPr>
        <w:t>Choice of the paper used to collect dried blood</w:t>
      </w:r>
      <w:r w:rsidR="00C57A7B">
        <w:rPr>
          <w:rFonts w:asciiTheme="minorHAnsi" w:hAnsiTheme="minorHAnsi"/>
        </w:rPr>
        <w:t xml:space="preserve"> spot samples</w:t>
      </w:r>
      <w:r>
        <w:rPr>
          <w:rFonts w:asciiTheme="minorHAnsi" w:hAnsiTheme="minorHAnsi"/>
        </w:rPr>
        <w:t xml:space="preserve"> must be made in consultation with the </w:t>
      </w:r>
      <w:r w:rsidR="00C57A7B">
        <w:rPr>
          <w:rFonts w:asciiTheme="minorHAnsi" w:hAnsiTheme="minorHAnsi"/>
        </w:rPr>
        <w:t xml:space="preserve">analytical </w:t>
      </w:r>
      <w:r>
        <w:rPr>
          <w:rFonts w:asciiTheme="minorHAnsi" w:hAnsiTheme="minorHAnsi"/>
        </w:rPr>
        <w:t>laboratory.</w:t>
      </w:r>
    </w:p>
    <w:p w:rsidR="00B42D09" w:rsidRDefault="00B42D09" w:rsidP="00ED4AE6">
      <w:pPr>
        <w:pStyle w:val="BodyText"/>
        <w:ind w:left="0"/>
        <w:rPr>
          <w:rFonts w:asciiTheme="minorHAnsi" w:hAnsiTheme="minorHAnsi"/>
        </w:rPr>
      </w:pPr>
    </w:p>
    <w:p w:rsidR="007B2796" w:rsidRDefault="007B2796" w:rsidP="00ED4AE6">
      <w:pPr>
        <w:pStyle w:val="BodyText"/>
        <w:ind w:left="0"/>
        <w:rPr>
          <w:rFonts w:asciiTheme="minorHAnsi" w:hAnsiTheme="minorHAnsi"/>
        </w:rPr>
      </w:pPr>
      <w:r>
        <w:rPr>
          <w:rFonts w:asciiTheme="minorHAnsi" w:hAnsiTheme="minorHAnsi"/>
        </w:rPr>
        <w:t>Either EDTA or</w:t>
      </w:r>
      <w:r w:rsidR="007D5486">
        <w:rPr>
          <w:rFonts w:asciiTheme="minorHAnsi" w:hAnsiTheme="minorHAnsi"/>
        </w:rPr>
        <w:t xml:space="preserve"> </w:t>
      </w:r>
      <w:r w:rsidR="007D5486" w:rsidRPr="007D5486">
        <w:rPr>
          <w:rFonts w:asciiTheme="minorHAnsi" w:hAnsiTheme="minorHAnsi"/>
        </w:rPr>
        <w:t>sodium or lithium</w:t>
      </w:r>
      <w:r>
        <w:rPr>
          <w:rFonts w:asciiTheme="minorHAnsi" w:hAnsiTheme="minorHAnsi"/>
        </w:rPr>
        <w:t xml:space="preserve"> heparin </w:t>
      </w:r>
      <w:r w:rsidR="000C111D">
        <w:rPr>
          <w:rFonts w:asciiTheme="minorHAnsi" w:hAnsiTheme="minorHAnsi"/>
        </w:rPr>
        <w:t>must</w:t>
      </w:r>
      <w:r>
        <w:rPr>
          <w:rFonts w:asciiTheme="minorHAnsi" w:hAnsiTheme="minorHAnsi"/>
        </w:rPr>
        <w:t xml:space="preserve"> be used as </w:t>
      </w:r>
      <w:r w:rsidR="00E3177C">
        <w:rPr>
          <w:rFonts w:asciiTheme="minorHAnsi" w:hAnsiTheme="minorHAnsi"/>
        </w:rPr>
        <w:t xml:space="preserve">an </w:t>
      </w:r>
      <w:r>
        <w:rPr>
          <w:rFonts w:asciiTheme="minorHAnsi" w:hAnsiTheme="minorHAnsi"/>
        </w:rPr>
        <w:t>anticoagulant</w:t>
      </w:r>
      <w:r w:rsidR="00486CF6">
        <w:rPr>
          <w:rFonts w:asciiTheme="minorHAnsi" w:hAnsiTheme="minorHAnsi"/>
        </w:rPr>
        <w:t>.</w:t>
      </w:r>
      <w:r w:rsidR="00486CF6" w:rsidRPr="000C111D">
        <w:rPr>
          <w:rFonts w:asciiTheme="minorHAnsi" w:hAnsiTheme="minorHAnsi"/>
          <w:vertAlign w:val="superscript"/>
        </w:rPr>
        <w:t xml:space="preserve"> (</w:t>
      </w:r>
      <w:r w:rsidR="000C111D" w:rsidRPr="000C111D">
        <w:rPr>
          <w:rFonts w:asciiTheme="minorHAnsi" w:hAnsiTheme="minorHAnsi"/>
          <w:vertAlign w:val="superscript"/>
        </w:rPr>
        <w:t>1)</w:t>
      </w:r>
    </w:p>
    <w:p w:rsidR="00F36080" w:rsidRPr="00ED4AE6" w:rsidRDefault="00F36080" w:rsidP="00ED4AE6">
      <w:pPr>
        <w:pStyle w:val="BodyText"/>
        <w:ind w:left="0"/>
        <w:rPr>
          <w:rFonts w:asciiTheme="minorHAnsi" w:hAnsiTheme="minorHAnsi"/>
        </w:rPr>
      </w:pPr>
    </w:p>
    <w:p w:rsidR="00AA29E3" w:rsidRDefault="00E3177C" w:rsidP="00E3177C">
      <w:pPr>
        <w:pStyle w:val="Heading1"/>
      </w:pPr>
      <w:bookmarkStart w:id="12" w:name="_Toc260922241"/>
      <w:bookmarkStart w:id="13" w:name="_Toc524773482"/>
      <w:r>
        <w:t>6</w:t>
      </w:r>
      <w:r w:rsidR="00602225" w:rsidRPr="0097524A">
        <w:t xml:space="preserve">. </w:t>
      </w:r>
      <w:bookmarkEnd w:id="12"/>
      <w:r w:rsidR="004B77E5">
        <w:t>Procedure</w:t>
      </w:r>
      <w:bookmarkEnd w:id="13"/>
    </w:p>
    <w:p w:rsidR="00F7114F" w:rsidRDefault="00E3177C" w:rsidP="00E3177C">
      <w:r>
        <w:t xml:space="preserve">Analysis of </w:t>
      </w:r>
      <w:r w:rsidR="00F7114F">
        <w:rPr>
          <w:rFonts w:asciiTheme="minorHAnsi" w:hAnsiTheme="minorHAnsi"/>
        </w:rPr>
        <w:t xml:space="preserve">PRQ / </w:t>
      </w:r>
      <w:proofErr w:type="spellStart"/>
      <w:r w:rsidR="00F7114F">
        <w:rPr>
          <w:rFonts w:asciiTheme="minorHAnsi" w:hAnsiTheme="minorHAnsi"/>
        </w:rPr>
        <w:t>PRQm</w:t>
      </w:r>
      <w:proofErr w:type="spellEnd"/>
      <w:r>
        <w:t xml:space="preserve"> may be done in </w:t>
      </w:r>
      <w:r w:rsidR="00F7114F">
        <w:t>whole blood</w:t>
      </w:r>
      <w:r w:rsidR="00672E42">
        <w:t>,</w:t>
      </w:r>
      <w:r w:rsidR="00F7114F">
        <w:t xml:space="preserve"> plasma </w:t>
      </w:r>
      <w:r w:rsidR="00672E42">
        <w:t xml:space="preserve">or dried blood spots </w:t>
      </w:r>
      <w:r w:rsidR="00BD12F6">
        <w:t xml:space="preserve">per the </w:t>
      </w:r>
      <w:r w:rsidR="00672E42">
        <w:t>validated bioanalytical method</w:t>
      </w:r>
      <w:r w:rsidR="00BD12F6">
        <w:t xml:space="preserve"> used for the analyses</w:t>
      </w:r>
      <w:r w:rsidR="00F7114F">
        <w:t>.</w:t>
      </w:r>
      <w:r w:rsidR="00672E42">
        <w:t xml:space="preserve"> Plasma and whole blood matrices are the most commonly used sampling procedures.</w:t>
      </w:r>
    </w:p>
    <w:p w:rsidR="00E3177C" w:rsidRDefault="00F7114F" w:rsidP="00E3177C">
      <w:r>
        <w:t xml:space="preserve"> </w:t>
      </w:r>
    </w:p>
    <w:p w:rsidR="00BD12F6" w:rsidRDefault="00E3177C" w:rsidP="00710609">
      <w:pPr>
        <w:pStyle w:val="ListParagraph"/>
        <w:numPr>
          <w:ilvl w:val="0"/>
          <w:numId w:val="5"/>
        </w:numPr>
        <w:rPr>
          <w:sz w:val="24"/>
          <w:szCs w:val="24"/>
        </w:rPr>
      </w:pPr>
      <w:r w:rsidRPr="00C57A7B">
        <w:rPr>
          <w:sz w:val="24"/>
          <w:szCs w:val="24"/>
        </w:rPr>
        <w:t xml:space="preserve">Collect </w:t>
      </w:r>
      <w:r w:rsidR="00710609">
        <w:rPr>
          <w:sz w:val="24"/>
          <w:szCs w:val="24"/>
        </w:rPr>
        <w:t>the required volume of</w:t>
      </w:r>
      <w:r w:rsidR="00BD12F6">
        <w:rPr>
          <w:sz w:val="24"/>
          <w:szCs w:val="24"/>
        </w:rPr>
        <w:t xml:space="preserve"> </w:t>
      </w:r>
      <w:r w:rsidRPr="00C57A7B">
        <w:rPr>
          <w:sz w:val="24"/>
          <w:szCs w:val="24"/>
        </w:rPr>
        <w:t>whole blood follow</w:t>
      </w:r>
      <w:r w:rsidR="00BD12F6">
        <w:rPr>
          <w:sz w:val="24"/>
          <w:szCs w:val="24"/>
        </w:rPr>
        <w:t>ing the local</w:t>
      </w:r>
      <w:r w:rsidRPr="00C57A7B">
        <w:rPr>
          <w:sz w:val="24"/>
          <w:szCs w:val="24"/>
        </w:rPr>
        <w:t xml:space="preserve"> protocol for the collection of blood. </w:t>
      </w:r>
    </w:p>
    <w:p w:rsidR="00E3177C" w:rsidRPr="00BD12F6" w:rsidRDefault="00BD12F6" w:rsidP="00C57A7B">
      <w:pPr>
        <w:ind w:left="720"/>
      </w:pPr>
      <w:r>
        <w:t xml:space="preserve">Note:  A catheter may be needed for dense sampling to reduce </w:t>
      </w:r>
      <w:r w:rsidR="00710609">
        <w:t>venipunctures</w:t>
      </w:r>
      <w:r>
        <w:t xml:space="preserve">. </w:t>
      </w:r>
      <w:r w:rsidR="00672E42" w:rsidRPr="00BD12F6">
        <w:t xml:space="preserve">The </w:t>
      </w:r>
      <w:r w:rsidR="00E3177C" w:rsidRPr="00BD12F6">
        <w:t xml:space="preserve">minimum </w:t>
      </w:r>
      <w:r w:rsidR="00672E42" w:rsidRPr="00BD12F6">
        <w:t xml:space="preserve">volume </w:t>
      </w:r>
      <w:r w:rsidR="00E3177C" w:rsidRPr="00BD12F6">
        <w:t xml:space="preserve">required </w:t>
      </w:r>
      <w:r w:rsidR="00672E42" w:rsidRPr="00BD12F6">
        <w:t>may differ for</w:t>
      </w:r>
      <w:r w:rsidR="00E3177C" w:rsidRPr="00BD12F6">
        <w:t xml:space="preserve"> individual laboratory methods. Please contact the laboratory first to obtain more information on specific needs.</w:t>
      </w:r>
      <w:r w:rsidR="00672E42" w:rsidRPr="00BD12F6">
        <w:t xml:space="preserve"> Mass spectrometry-based methods commonly require smaller volumes in the range of 100-500 microliter</w:t>
      </w:r>
      <w:r w:rsidR="005657B1" w:rsidRPr="00BD12F6">
        <w:t>s,</w:t>
      </w:r>
      <w:r w:rsidR="00672E42" w:rsidRPr="00BD12F6">
        <w:t xml:space="preserve"> and UV-based methods commonly require </w:t>
      </w:r>
      <w:r w:rsidR="005657B1" w:rsidRPr="00BD12F6">
        <w:t>volumes in the range of 500-1000 microliters.</w:t>
      </w:r>
    </w:p>
    <w:p w:rsidR="00F7114F" w:rsidRDefault="00F7114F" w:rsidP="00E3177C"/>
    <w:p w:rsidR="00394CD1" w:rsidRPr="00394CD1" w:rsidRDefault="00394CD1" w:rsidP="00710609">
      <w:pPr>
        <w:pStyle w:val="ListParagraph"/>
        <w:numPr>
          <w:ilvl w:val="0"/>
          <w:numId w:val="5"/>
        </w:numPr>
      </w:pPr>
      <w:r>
        <w:rPr>
          <w:sz w:val="24"/>
          <w:szCs w:val="24"/>
        </w:rPr>
        <w:t xml:space="preserve">Whole blood: </w:t>
      </w:r>
      <w:r w:rsidR="00AC57E1">
        <w:rPr>
          <w:sz w:val="24"/>
          <w:szCs w:val="24"/>
        </w:rPr>
        <w:t>Transfer w</w:t>
      </w:r>
      <w:r w:rsidR="00E3177C" w:rsidRPr="00C57A7B">
        <w:rPr>
          <w:sz w:val="24"/>
          <w:szCs w:val="24"/>
        </w:rPr>
        <w:t xml:space="preserve">hole blood directly into </w:t>
      </w:r>
      <w:r w:rsidR="00AC57E1">
        <w:rPr>
          <w:sz w:val="24"/>
          <w:szCs w:val="24"/>
        </w:rPr>
        <w:t>pre-labelled (Patient ID, date</w:t>
      </w:r>
      <w:r>
        <w:rPr>
          <w:sz w:val="24"/>
          <w:szCs w:val="24"/>
        </w:rPr>
        <w:t xml:space="preserve"> </w:t>
      </w:r>
      <w:r w:rsidR="00AC57E1">
        <w:rPr>
          <w:sz w:val="24"/>
          <w:szCs w:val="24"/>
        </w:rPr>
        <w:t xml:space="preserve">and clock time of collection) </w:t>
      </w:r>
      <w:r w:rsidR="00F7114F" w:rsidRPr="00C57A7B">
        <w:rPr>
          <w:sz w:val="24"/>
          <w:szCs w:val="24"/>
        </w:rPr>
        <w:t>polypropylene</w:t>
      </w:r>
      <w:r w:rsidR="00E3177C" w:rsidRPr="00C57A7B">
        <w:rPr>
          <w:sz w:val="24"/>
          <w:szCs w:val="24"/>
        </w:rPr>
        <w:t xml:space="preserve"> cryovials</w:t>
      </w:r>
      <w:r w:rsidR="00F7114F" w:rsidRPr="00C57A7B">
        <w:rPr>
          <w:sz w:val="24"/>
          <w:szCs w:val="24"/>
        </w:rPr>
        <w:t xml:space="preserve"> with added EDTA or </w:t>
      </w:r>
      <w:r w:rsidR="007D5486">
        <w:rPr>
          <w:sz w:val="24"/>
          <w:szCs w:val="24"/>
        </w:rPr>
        <w:t>sodium</w:t>
      </w:r>
      <w:r w:rsidR="007D5486" w:rsidRPr="00C57A7B">
        <w:rPr>
          <w:sz w:val="24"/>
          <w:szCs w:val="24"/>
        </w:rPr>
        <w:t xml:space="preserve"> or</w:t>
      </w:r>
      <w:r w:rsidR="007D5486">
        <w:rPr>
          <w:sz w:val="24"/>
          <w:szCs w:val="24"/>
        </w:rPr>
        <w:t xml:space="preserve"> lithium</w:t>
      </w:r>
      <w:r w:rsidR="007D5486" w:rsidRPr="00C57A7B">
        <w:rPr>
          <w:sz w:val="24"/>
          <w:szCs w:val="24"/>
        </w:rPr>
        <w:t xml:space="preserve"> </w:t>
      </w:r>
      <w:r w:rsidR="00F7114F" w:rsidRPr="00C57A7B">
        <w:rPr>
          <w:sz w:val="24"/>
          <w:szCs w:val="24"/>
        </w:rPr>
        <w:t>heparin as anticoagulant</w:t>
      </w:r>
      <w:r>
        <w:rPr>
          <w:sz w:val="24"/>
          <w:szCs w:val="24"/>
        </w:rPr>
        <w:t>. Store frozen (see section 8 below), do not thaw the sample after freezing.</w:t>
      </w:r>
    </w:p>
    <w:p w:rsidR="000A0073" w:rsidRPr="000A0073" w:rsidRDefault="00394CD1" w:rsidP="00710609">
      <w:pPr>
        <w:pStyle w:val="ListParagraph"/>
        <w:numPr>
          <w:ilvl w:val="0"/>
          <w:numId w:val="5"/>
        </w:numPr>
      </w:pPr>
      <w:r>
        <w:rPr>
          <w:sz w:val="24"/>
          <w:szCs w:val="24"/>
        </w:rPr>
        <w:t>Plasma: C</w:t>
      </w:r>
      <w:r w:rsidRPr="00394CD1">
        <w:rPr>
          <w:sz w:val="24"/>
          <w:szCs w:val="24"/>
        </w:rPr>
        <w:t>entrifug</w:t>
      </w:r>
      <w:r>
        <w:rPr>
          <w:sz w:val="24"/>
          <w:szCs w:val="24"/>
        </w:rPr>
        <w:t>e</w:t>
      </w:r>
      <w:r w:rsidRPr="00394CD1">
        <w:rPr>
          <w:sz w:val="24"/>
          <w:szCs w:val="24"/>
        </w:rPr>
        <w:t xml:space="preserve"> </w:t>
      </w:r>
      <w:r w:rsidR="000A0073">
        <w:rPr>
          <w:sz w:val="24"/>
          <w:szCs w:val="24"/>
        </w:rPr>
        <w:t>EDTA</w:t>
      </w:r>
      <w:r w:rsidR="00C57A7B">
        <w:rPr>
          <w:sz w:val="24"/>
          <w:szCs w:val="24"/>
        </w:rPr>
        <w:t xml:space="preserve"> </w:t>
      </w:r>
      <w:r w:rsidR="000A0073">
        <w:rPr>
          <w:sz w:val="24"/>
          <w:szCs w:val="24"/>
        </w:rPr>
        <w:t>or</w:t>
      </w:r>
      <w:r w:rsidR="007D5486">
        <w:rPr>
          <w:sz w:val="24"/>
          <w:szCs w:val="24"/>
        </w:rPr>
        <w:t xml:space="preserve"> </w:t>
      </w:r>
      <w:r w:rsidR="007D5486" w:rsidRPr="007D5486">
        <w:rPr>
          <w:sz w:val="24"/>
          <w:szCs w:val="24"/>
        </w:rPr>
        <w:t>sodium or lithium</w:t>
      </w:r>
      <w:r w:rsidR="000A0073">
        <w:rPr>
          <w:sz w:val="24"/>
          <w:szCs w:val="24"/>
        </w:rPr>
        <w:t xml:space="preserve"> heparin anticoagulated </w:t>
      </w:r>
      <w:r w:rsidRPr="00394CD1">
        <w:rPr>
          <w:sz w:val="24"/>
          <w:szCs w:val="24"/>
        </w:rPr>
        <w:t>whole blood within 60 minutes of sampling at 1000 – 3000 x g for 7 – 15 minutes.</w:t>
      </w:r>
      <w:r>
        <w:rPr>
          <w:sz w:val="24"/>
          <w:szCs w:val="24"/>
        </w:rPr>
        <w:t xml:space="preserve"> </w:t>
      </w:r>
      <w:r w:rsidRPr="00394CD1">
        <w:rPr>
          <w:sz w:val="24"/>
          <w:szCs w:val="24"/>
        </w:rPr>
        <w:t xml:space="preserve">Transfer </w:t>
      </w:r>
      <w:r>
        <w:rPr>
          <w:sz w:val="24"/>
          <w:szCs w:val="24"/>
        </w:rPr>
        <w:t>the plasma</w:t>
      </w:r>
      <w:r w:rsidRPr="00394CD1">
        <w:rPr>
          <w:sz w:val="24"/>
          <w:szCs w:val="24"/>
        </w:rPr>
        <w:t xml:space="preserve"> into pre-labelled (Patient ID, date and clock time of collection) polypropylene cryovials</w:t>
      </w:r>
      <w:r w:rsidR="000A0073">
        <w:rPr>
          <w:sz w:val="24"/>
          <w:szCs w:val="24"/>
        </w:rPr>
        <w:t>. Store frozen (see section 8 below), do not thaw the sample after freezing.</w:t>
      </w:r>
    </w:p>
    <w:p w:rsidR="00E3177C" w:rsidRDefault="000A0073" w:rsidP="00710609">
      <w:pPr>
        <w:pStyle w:val="ListParagraph"/>
        <w:numPr>
          <w:ilvl w:val="0"/>
          <w:numId w:val="5"/>
        </w:numPr>
      </w:pPr>
      <w:r>
        <w:rPr>
          <w:sz w:val="24"/>
          <w:szCs w:val="24"/>
        </w:rPr>
        <w:t xml:space="preserve">Dried blood spots: Apply whole blood directly </w:t>
      </w:r>
      <w:r w:rsidR="004468CB">
        <w:rPr>
          <w:sz w:val="24"/>
          <w:szCs w:val="24"/>
        </w:rPr>
        <w:t>to pre</w:t>
      </w:r>
      <w:r w:rsidRPr="00394CD1">
        <w:rPr>
          <w:sz w:val="24"/>
          <w:szCs w:val="24"/>
        </w:rPr>
        <w:t>-labelled (Patient ID, date and clock time of collection)</w:t>
      </w:r>
      <w:r>
        <w:rPr>
          <w:sz w:val="24"/>
          <w:szCs w:val="24"/>
        </w:rPr>
        <w:t xml:space="preserve"> </w:t>
      </w:r>
      <w:r w:rsidR="005657B1" w:rsidRPr="00C57A7B">
        <w:rPr>
          <w:sz w:val="24"/>
          <w:szCs w:val="24"/>
        </w:rPr>
        <w:t>filter paper</w:t>
      </w:r>
      <w:r w:rsidR="00F7114F" w:rsidRPr="00C57A7B">
        <w:rPr>
          <w:sz w:val="24"/>
          <w:szCs w:val="24"/>
        </w:rPr>
        <w:t>.</w:t>
      </w:r>
      <w:r w:rsidR="005657B1" w:rsidRPr="00C57A7B">
        <w:rPr>
          <w:sz w:val="24"/>
          <w:szCs w:val="24"/>
        </w:rPr>
        <w:t xml:space="preserve"> If dried spot methodology is used, contact the laboratory to obtain more information on </w:t>
      </w:r>
      <w:r>
        <w:rPr>
          <w:sz w:val="24"/>
          <w:szCs w:val="24"/>
        </w:rPr>
        <w:t xml:space="preserve">paper specifications, </w:t>
      </w:r>
      <w:r w:rsidR="005657B1" w:rsidRPr="00C57A7B">
        <w:rPr>
          <w:sz w:val="24"/>
          <w:szCs w:val="24"/>
        </w:rPr>
        <w:t>drying and storage conditions.</w:t>
      </w:r>
    </w:p>
    <w:p w:rsidR="00641FDD" w:rsidRDefault="00641FDD" w:rsidP="00641FDD">
      <w:pPr>
        <w:pStyle w:val="Heading1"/>
      </w:pPr>
      <w:bookmarkStart w:id="14" w:name="_Toc524773483"/>
      <w:r>
        <w:t>7</w:t>
      </w:r>
      <w:r w:rsidRPr="0097524A">
        <w:t xml:space="preserve">. </w:t>
      </w:r>
      <w:r>
        <w:t>Sampling times</w:t>
      </w:r>
      <w:bookmarkEnd w:id="14"/>
    </w:p>
    <w:p w:rsidR="005657B1" w:rsidRDefault="005657B1" w:rsidP="004379E9">
      <w:pPr>
        <w:rPr>
          <w:rFonts w:asciiTheme="minorHAnsi" w:hAnsiTheme="minorHAnsi"/>
          <w:lang w:val="en-GB"/>
        </w:rPr>
      </w:pPr>
      <w:r>
        <w:rPr>
          <w:rFonts w:asciiTheme="minorHAnsi" w:hAnsiTheme="minorHAnsi"/>
          <w:lang w:val="en-GB"/>
        </w:rPr>
        <w:t xml:space="preserve">Sampling times should be verified by a pharmacologist to ensure an informative clinical trial design. The sampling times vary depending on intended analysis technique (i.e. model-independent or model-based analysis) </w:t>
      </w:r>
      <w:proofErr w:type="gramStart"/>
      <w:r>
        <w:rPr>
          <w:rFonts w:asciiTheme="minorHAnsi" w:hAnsiTheme="minorHAnsi"/>
          <w:lang w:val="en-GB"/>
        </w:rPr>
        <w:t>and also</w:t>
      </w:r>
      <w:proofErr w:type="gramEnd"/>
      <w:r>
        <w:rPr>
          <w:rFonts w:asciiTheme="minorHAnsi" w:hAnsiTheme="minorHAnsi"/>
          <w:lang w:val="en-GB"/>
        </w:rPr>
        <w:t xml:space="preserve"> with the specific aim of the </w:t>
      </w:r>
      <w:r w:rsidR="00B6075A">
        <w:rPr>
          <w:rFonts w:asciiTheme="minorHAnsi" w:hAnsiTheme="minorHAnsi"/>
          <w:lang w:val="en-GB"/>
        </w:rPr>
        <w:t>study</w:t>
      </w:r>
      <w:r w:rsidR="00B6075A" w:rsidRPr="00B6075A">
        <w:rPr>
          <w:rFonts w:asciiTheme="minorHAnsi" w:hAnsiTheme="minorHAnsi"/>
          <w:vertAlign w:val="superscript"/>
          <w:lang w:val="en-GB"/>
        </w:rPr>
        <w:t xml:space="preserve"> (</w:t>
      </w:r>
      <w:r w:rsidR="00666897" w:rsidRPr="00B6075A">
        <w:rPr>
          <w:rFonts w:asciiTheme="minorHAnsi" w:hAnsiTheme="minorHAnsi"/>
          <w:vertAlign w:val="superscript"/>
          <w:lang w:val="en-GB"/>
        </w:rPr>
        <w:t>1)</w:t>
      </w:r>
      <w:r>
        <w:rPr>
          <w:rFonts w:asciiTheme="minorHAnsi" w:hAnsiTheme="minorHAnsi"/>
          <w:lang w:val="en-GB"/>
        </w:rPr>
        <w:t xml:space="preserve">. </w:t>
      </w:r>
    </w:p>
    <w:p w:rsidR="00A93DD2" w:rsidRDefault="00A93DD2" w:rsidP="004379E9">
      <w:pPr>
        <w:rPr>
          <w:rFonts w:asciiTheme="minorHAnsi" w:hAnsiTheme="minorHAnsi"/>
          <w:lang w:val="en-GB"/>
        </w:rPr>
      </w:pPr>
    </w:p>
    <w:p w:rsidR="004379E9" w:rsidRPr="004379E9" w:rsidRDefault="00666897" w:rsidP="004379E9">
      <w:pPr>
        <w:rPr>
          <w:rFonts w:asciiTheme="minorHAnsi" w:hAnsiTheme="minorHAnsi"/>
          <w:lang w:val="en-GB"/>
        </w:rPr>
      </w:pPr>
      <w:r>
        <w:rPr>
          <w:rFonts w:asciiTheme="minorHAnsi" w:hAnsiTheme="minorHAnsi"/>
          <w:lang w:val="en-GB"/>
        </w:rPr>
        <w:t>Suggested dense sampling after a s</w:t>
      </w:r>
      <w:r w:rsidR="007067A5">
        <w:rPr>
          <w:rFonts w:asciiTheme="minorHAnsi" w:hAnsiTheme="minorHAnsi"/>
          <w:lang w:val="en-GB"/>
        </w:rPr>
        <w:t>ingle dose</w:t>
      </w:r>
      <w:r w:rsidR="00A93DD2">
        <w:rPr>
          <w:rFonts w:asciiTheme="minorHAnsi" w:hAnsiTheme="minorHAnsi"/>
          <w:lang w:val="en-GB"/>
        </w:rPr>
        <w:t xml:space="preserve"> </w:t>
      </w:r>
      <w:r w:rsidR="00A93DD2" w:rsidRPr="001A506A">
        <w:rPr>
          <w:rFonts w:asciiTheme="minorHAnsi" w:hAnsiTheme="minorHAnsi"/>
          <w:vertAlign w:val="superscript"/>
          <w:lang w:val="en-GB"/>
        </w:rPr>
        <w:t>(</w:t>
      </w:r>
      <w:r w:rsidR="00A93DD2">
        <w:rPr>
          <w:rFonts w:asciiTheme="minorHAnsi" w:hAnsiTheme="minorHAnsi"/>
          <w:vertAlign w:val="superscript"/>
          <w:lang w:val="en-GB"/>
        </w:rPr>
        <w:t>1</w:t>
      </w:r>
      <w:r w:rsidR="00A93DD2" w:rsidRPr="001A506A">
        <w:rPr>
          <w:rFonts w:asciiTheme="minorHAnsi" w:hAnsiTheme="minorHAnsi"/>
          <w:vertAlign w:val="superscript"/>
          <w:lang w:val="en-GB"/>
        </w:rPr>
        <w:t>)</w:t>
      </w:r>
      <w:r w:rsidR="007067A5">
        <w:rPr>
          <w:rFonts w:asciiTheme="minorHAnsi" w:hAnsiTheme="minorHAnsi"/>
          <w:lang w:val="en-GB"/>
        </w:rPr>
        <w:t>: 0, 0.5, 1, 1.5, 2, 3, 6, 8, 12, 18, 24</w:t>
      </w:r>
    </w:p>
    <w:p w:rsidR="007B5A05" w:rsidRPr="004379E9" w:rsidRDefault="007B5A05" w:rsidP="00602225">
      <w:pPr>
        <w:pStyle w:val="SectionSubtitle"/>
        <w:rPr>
          <w:lang w:val="en-GB"/>
        </w:rPr>
      </w:pPr>
    </w:p>
    <w:p w:rsidR="007B5A05" w:rsidRDefault="00641FDD" w:rsidP="00641FDD">
      <w:pPr>
        <w:pStyle w:val="Heading1"/>
      </w:pPr>
      <w:bookmarkStart w:id="15" w:name="_Toc524773484"/>
      <w:r>
        <w:lastRenderedPageBreak/>
        <w:t>8.</w:t>
      </w:r>
      <w:r w:rsidR="007B5A05">
        <w:t xml:space="preserve"> </w:t>
      </w:r>
      <w:r>
        <w:t>Stability</w:t>
      </w:r>
      <w:bookmarkEnd w:id="15"/>
    </w:p>
    <w:p w:rsidR="00641FDD" w:rsidRPr="00641FDD" w:rsidRDefault="00641FDD" w:rsidP="00641FDD">
      <w:r>
        <w:t xml:space="preserve">PRQ / </w:t>
      </w:r>
      <w:proofErr w:type="spellStart"/>
      <w:r>
        <w:t>PRQm</w:t>
      </w:r>
      <w:proofErr w:type="spellEnd"/>
      <w:r>
        <w:t xml:space="preserve"> are stable in plasma at 4</w:t>
      </w:r>
      <w:r w:rsidRPr="00641FDD">
        <w:rPr>
          <w:vertAlign w:val="superscript"/>
        </w:rPr>
        <w:t>o</w:t>
      </w:r>
      <w:r>
        <w:t>C for up to 48 hours. Venous blood samples should not be stored for more than 1 hour at room temperature. It can also be stored at -20</w:t>
      </w:r>
      <w:r w:rsidRPr="00641FDD">
        <w:rPr>
          <w:vertAlign w:val="superscript"/>
        </w:rPr>
        <w:t>o</w:t>
      </w:r>
      <w:r>
        <w:t>C for up to three months. Long term storage at -80</w:t>
      </w:r>
      <w:r w:rsidRPr="00641FDD">
        <w:rPr>
          <w:vertAlign w:val="superscript"/>
        </w:rPr>
        <w:t>o</w:t>
      </w:r>
      <w:r>
        <w:t>C</w:t>
      </w:r>
      <w:r w:rsidR="007067A5">
        <w:t xml:space="preserve"> is usually sufficient for at least 1 year.</w:t>
      </w:r>
    </w:p>
    <w:p w:rsidR="007B5A05" w:rsidRDefault="007B5A05" w:rsidP="00602225">
      <w:pPr>
        <w:pStyle w:val="SectionSubtitle"/>
      </w:pPr>
    </w:p>
    <w:p w:rsidR="004D1068" w:rsidRDefault="00E81997" w:rsidP="002F648E">
      <w:pPr>
        <w:pStyle w:val="Heading1"/>
      </w:pPr>
      <w:bookmarkStart w:id="16" w:name="_Toc524773485"/>
      <w:r>
        <w:t>9</w:t>
      </w:r>
      <w:r w:rsidR="004D1068" w:rsidRPr="0097524A">
        <w:t xml:space="preserve">. </w:t>
      </w:r>
      <w:r w:rsidR="004D1068">
        <w:t>Reference</w:t>
      </w:r>
      <w:bookmarkEnd w:id="16"/>
    </w:p>
    <w:p w:rsidR="000C111D" w:rsidRPr="002F648E" w:rsidRDefault="000C111D" w:rsidP="002F648E">
      <w:pPr>
        <w:pStyle w:val="ListParagraph"/>
        <w:numPr>
          <w:ilvl w:val="0"/>
          <w:numId w:val="4"/>
        </w:numPr>
        <w:spacing w:after="0" w:line="240" w:lineRule="auto"/>
        <w:rPr>
          <w:sz w:val="24"/>
          <w:szCs w:val="24"/>
        </w:rPr>
      </w:pPr>
      <w:r w:rsidRPr="002F648E">
        <w:rPr>
          <w:sz w:val="24"/>
          <w:szCs w:val="24"/>
        </w:rPr>
        <w:t xml:space="preserve">Methods and techniques for assessing exposure to antimalarial drugs in clinical field studies. </w:t>
      </w:r>
      <w:r w:rsidRPr="002F648E">
        <w:rPr>
          <w:i/>
          <w:sz w:val="24"/>
          <w:szCs w:val="24"/>
        </w:rPr>
        <w:t>WHO</w:t>
      </w:r>
      <w:r w:rsidRPr="002F648E">
        <w:rPr>
          <w:sz w:val="24"/>
          <w:szCs w:val="24"/>
        </w:rPr>
        <w:t>. ISBN 978 92 4 150206 1, p43.</w:t>
      </w:r>
    </w:p>
    <w:sectPr w:rsidR="000C111D" w:rsidRPr="002F648E" w:rsidSect="00602225">
      <w:footerReference w:type="default" r:id="rId13"/>
      <w:footerReference w:type="first" r:id="rId14"/>
      <w:pgSz w:w="11900" w:h="16840"/>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01A" w:rsidRDefault="0067101A">
      <w:r>
        <w:separator/>
      </w:r>
    </w:p>
  </w:endnote>
  <w:endnote w:type="continuationSeparator" w:id="0">
    <w:p w:rsidR="0067101A" w:rsidRDefault="0067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Courier New"/>
    <w:charset w:val="00"/>
    <w:family w:val="auto"/>
    <w:pitch w:val="variable"/>
    <w:sig w:usb0="00000000"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Berkeley Book">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4ED" w:rsidRDefault="00B7149E" w:rsidP="00602225">
    <w:pPr>
      <w:pStyle w:val="Footer"/>
      <w:ind w:right="-347"/>
    </w:pPr>
    <w:r>
      <w:t>WWARN Procedure:</w:t>
    </w:r>
    <w:r w:rsidR="004B54ED">
      <w:t xml:space="preserve"> </w:t>
    </w:r>
    <w:r w:rsidR="002F648E">
      <w:t>Collection of samples for p</w:t>
    </w:r>
    <w:r w:rsidR="004B54ED">
      <w:t>rimaquine</w:t>
    </w:r>
    <w:r w:rsidR="002F648E">
      <w:t xml:space="preserve"> / </w:t>
    </w:r>
    <w:proofErr w:type="spellStart"/>
    <w:r w:rsidR="002F648E">
      <w:t>carboxyprimaquine</w:t>
    </w:r>
    <w:proofErr w:type="spellEnd"/>
    <w:r w:rsidR="004B54ED">
      <w:t xml:space="preserve"> pharmacology analysis</w:t>
    </w:r>
    <w:r w:rsidR="002F648E">
      <w:t xml:space="preserve"> v2.0</w:t>
    </w:r>
    <w:r w:rsidR="004B54ED">
      <w:tab/>
    </w:r>
    <w:r w:rsidR="004B54ED">
      <w:tab/>
      <w:t xml:space="preserve">Page </w:t>
    </w:r>
    <w:r w:rsidR="004B54ED">
      <w:rPr>
        <w:rStyle w:val="PageNumber"/>
      </w:rPr>
      <w:fldChar w:fldCharType="begin"/>
    </w:r>
    <w:r w:rsidR="004B54ED">
      <w:rPr>
        <w:rStyle w:val="PageNumber"/>
      </w:rPr>
      <w:instrText xml:space="preserve"> PAGE </w:instrText>
    </w:r>
    <w:r w:rsidR="004B54ED">
      <w:rPr>
        <w:rStyle w:val="PageNumber"/>
      </w:rPr>
      <w:fldChar w:fldCharType="separate"/>
    </w:r>
    <w:r w:rsidR="008E2FF2">
      <w:rPr>
        <w:rStyle w:val="PageNumber"/>
        <w:noProof/>
      </w:rPr>
      <w:t>2</w:t>
    </w:r>
    <w:r w:rsidR="004B54ED">
      <w:rPr>
        <w:rStyle w:val="PageNumber"/>
      </w:rPr>
      <w:fldChar w:fldCharType="end"/>
    </w:r>
    <w:r w:rsidR="004B54ED">
      <w:rPr>
        <w:rStyle w:val="PageNumber"/>
      </w:rPr>
      <w:t>/</w:t>
    </w:r>
    <w:r w:rsidR="004B54ED">
      <w:rPr>
        <w:rStyle w:val="PageNumber"/>
      </w:rPr>
      <w:fldChar w:fldCharType="begin"/>
    </w:r>
    <w:r w:rsidR="004B54ED">
      <w:rPr>
        <w:rStyle w:val="PageNumber"/>
      </w:rPr>
      <w:instrText xml:space="preserve"> NUMPAGES </w:instrText>
    </w:r>
    <w:r w:rsidR="004B54ED">
      <w:rPr>
        <w:rStyle w:val="PageNumber"/>
      </w:rPr>
      <w:fldChar w:fldCharType="separate"/>
    </w:r>
    <w:r w:rsidR="008E2FF2">
      <w:rPr>
        <w:rStyle w:val="PageNumber"/>
        <w:noProof/>
      </w:rPr>
      <w:t>6</w:t>
    </w:r>
    <w:r w:rsidR="004B54ED">
      <w:rPr>
        <w:rStyle w:val="PageNumber"/>
      </w:rPr>
      <w:fldChar w:fldCharType="end"/>
    </w:r>
    <w:r w:rsidR="004B54E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4ED" w:rsidRDefault="004B54ED" w:rsidP="00602225">
    <w:pPr>
      <w:pStyle w:val="Footer"/>
      <w:ind w:right="-48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01A" w:rsidRDefault="0067101A">
      <w:r>
        <w:separator/>
      </w:r>
    </w:p>
  </w:footnote>
  <w:footnote w:type="continuationSeparator" w:id="0">
    <w:p w:rsidR="0067101A" w:rsidRDefault="00671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44BA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226589"/>
    <w:multiLevelType w:val="hybridMultilevel"/>
    <w:tmpl w:val="F04C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12588"/>
    <w:multiLevelType w:val="hybridMultilevel"/>
    <w:tmpl w:val="E80A50AC"/>
    <w:lvl w:ilvl="0" w:tplc="B12C8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D6593"/>
    <w:multiLevelType w:val="hybridMultilevel"/>
    <w:tmpl w:val="20968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293D0A"/>
    <w:multiLevelType w:val="multilevel"/>
    <w:tmpl w:val="D1D207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ED15035"/>
    <w:multiLevelType w:val="hybridMultilevel"/>
    <w:tmpl w:val="0D00074C"/>
    <w:lvl w:ilvl="0" w:tplc="50AC6550">
      <w:start w:val="1"/>
      <w:numFmt w:val="upperRoman"/>
      <w:pStyle w:val="ListNumber"/>
      <w:lvlText w:val="%1."/>
      <w:lvlJc w:val="right"/>
      <w:pPr>
        <w:tabs>
          <w:tab w:val="num" w:pos="900"/>
        </w:tabs>
        <w:ind w:left="90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3"/>
  <w:styleLockTheme/>
  <w:styleLockQFSet/>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C68"/>
    <w:rsid w:val="00005B9A"/>
    <w:rsid w:val="0001671B"/>
    <w:rsid w:val="000375B4"/>
    <w:rsid w:val="00055C98"/>
    <w:rsid w:val="0005733F"/>
    <w:rsid w:val="000675B6"/>
    <w:rsid w:val="0007090A"/>
    <w:rsid w:val="000820B6"/>
    <w:rsid w:val="00084618"/>
    <w:rsid w:val="000868A5"/>
    <w:rsid w:val="00095225"/>
    <w:rsid w:val="000A0073"/>
    <w:rsid w:val="000A317B"/>
    <w:rsid w:val="000A6B4B"/>
    <w:rsid w:val="000C111D"/>
    <w:rsid w:val="000C2E05"/>
    <w:rsid w:val="000D5034"/>
    <w:rsid w:val="000E34B2"/>
    <w:rsid w:val="00125368"/>
    <w:rsid w:val="001322DB"/>
    <w:rsid w:val="001403F9"/>
    <w:rsid w:val="0016477F"/>
    <w:rsid w:val="00173ED1"/>
    <w:rsid w:val="00173FB6"/>
    <w:rsid w:val="00174D00"/>
    <w:rsid w:val="00193BD5"/>
    <w:rsid w:val="001A07D4"/>
    <w:rsid w:val="001A0B0F"/>
    <w:rsid w:val="001A506A"/>
    <w:rsid w:val="001B585D"/>
    <w:rsid w:val="001C5EA4"/>
    <w:rsid w:val="001D5DB1"/>
    <w:rsid w:val="00204FCA"/>
    <w:rsid w:val="00231CFF"/>
    <w:rsid w:val="002542BE"/>
    <w:rsid w:val="00255737"/>
    <w:rsid w:val="00257C19"/>
    <w:rsid w:val="00257DF3"/>
    <w:rsid w:val="002610CE"/>
    <w:rsid w:val="00262978"/>
    <w:rsid w:val="00262C31"/>
    <w:rsid w:val="00273B28"/>
    <w:rsid w:val="002B41E8"/>
    <w:rsid w:val="002D2F42"/>
    <w:rsid w:val="002F648E"/>
    <w:rsid w:val="00305BEE"/>
    <w:rsid w:val="003100FE"/>
    <w:rsid w:val="00316D8D"/>
    <w:rsid w:val="0032538D"/>
    <w:rsid w:val="00345E18"/>
    <w:rsid w:val="00363306"/>
    <w:rsid w:val="00394802"/>
    <w:rsid w:val="00394CD1"/>
    <w:rsid w:val="003B4E41"/>
    <w:rsid w:val="003D7951"/>
    <w:rsid w:val="00433303"/>
    <w:rsid w:val="004379E9"/>
    <w:rsid w:val="004468CB"/>
    <w:rsid w:val="00474887"/>
    <w:rsid w:val="00486CF6"/>
    <w:rsid w:val="004A5B77"/>
    <w:rsid w:val="004B54ED"/>
    <w:rsid w:val="004B77E5"/>
    <w:rsid w:val="004D1068"/>
    <w:rsid w:val="00531677"/>
    <w:rsid w:val="00561930"/>
    <w:rsid w:val="005645CD"/>
    <w:rsid w:val="005657B1"/>
    <w:rsid w:val="00581A9D"/>
    <w:rsid w:val="00597876"/>
    <w:rsid w:val="005A27BD"/>
    <w:rsid w:val="005A4AFD"/>
    <w:rsid w:val="005C1537"/>
    <w:rsid w:val="005C536F"/>
    <w:rsid w:val="005C60D7"/>
    <w:rsid w:val="005D4C6C"/>
    <w:rsid w:val="005F1AAB"/>
    <w:rsid w:val="00602225"/>
    <w:rsid w:val="00613840"/>
    <w:rsid w:val="00615EAA"/>
    <w:rsid w:val="00635791"/>
    <w:rsid w:val="00641FDD"/>
    <w:rsid w:val="00661118"/>
    <w:rsid w:val="006659CA"/>
    <w:rsid w:val="00666897"/>
    <w:rsid w:val="0067101A"/>
    <w:rsid w:val="00672E42"/>
    <w:rsid w:val="00683B66"/>
    <w:rsid w:val="00696DA3"/>
    <w:rsid w:val="006A34FF"/>
    <w:rsid w:val="006B39F0"/>
    <w:rsid w:val="006C30B9"/>
    <w:rsid w:val="006C3FBE"/>
    <w:rsid w:val="006F2438"/>
    <w:rsid w:val="006F48F1"/>
    <w:rsid w:val="006F6BED"/>
    <w:rsid w:val="007067A5"/>
    <w:rsid w:val="00710609"/>
    <w:rsid w:val="007433AF"/>
    <w:rsid w:val="007518F6"/>
    <w:rsid w:val="00757891"/>
    <w:rsid w:val="0076383C"/>
    <w:rsid w:val="0076446B"/>
    <w:rsid w:val="0077405E"/>
    <w:rsid w:val="007933B7"/>
    <w:rsid w:val="007A1870"/>
    <w:rsid w:val="007A6829"/>
    <w:rsid w:val="007B2796"/>
    <w:rsid w:val="007B3E76"/>
    <w:rsid w:val="007B5A05"/>
    <w:rsid w:val="007C4D6A"/>
    <w:rsid w:val="007C6334"/>
    <w:rsid w:val="007D0D8B"/>
    <w:rsid w:val="007D274D"/>
    <w:rsid w:val="007D5486"/>
    <w:rsid w:val="007E2DCD"/>
    <w:rsid w:val="00801B6E"/>
    <w:rsid w:val="0082477C"/>
    <w:rsid w:val="00861757"/>
    <w:rsid w:val="00866E92"/>
    <w:rsid w:val="00873C96"/>
    <w:rsid w:val="00882EA0"/>
    <w:rsid w:val="0088384B"/>
    <w:rsid w:val="00892973"/>
    <w:rsid w:val="00897B31"/>
    <w:rsid w:val="008A050C"/>
    <w:rsid w:val="008B22FB"/>
    <w:rsid w:val="008B2485"/>
    <w:rsid w:val="008B6CCA"/>
    <w:rsid w:val="008B6F24"/>
    <w:rsid w:val="008D3B0B"/>
    <w:rsid w:val="008D5A9D"/>
    <w:rsid w:val="008E2A33"/>
    <w:rsid w:val="008E2FF2"/>
    <w:rsid w:val="008E3878"/>
    <w:rsid w:val="008E65D3"/>
    <w:rsid w:val="008E677A"/>
    <w:rsid w:val="008F0497"/>
    <w:rsid w:val="009032D6"/>
    <w:rsid w:val="0095594B"/>
    <w:rsid w:val="00991CFE"/>
    <w:rsid w:val="009961D4"/>
    <w:rsid w:val="009A01C0"/>
    <w:rsid w:val="009A20D3"/>
    <w:rsid w:val="009A533B"/>
    <w:rsid w:val="009C25CF"/>
    <w:rsid w:val="009D7C68"/>
    <w:rsid w:val="009E0ED3"/>
    <w:rsid w:val="009E38C7"/>
    <w:rsid w:val="009E3DE8"/>
    <w:rsid w:val="00A05789"/>
    <w:rsid w:val="00A06EF4"/>
    <w:rsid w:val="00A12E94"/>
    <w:rsid w:val="00A1646C"/>
    <w:rsid w:val="00A41CD5"/>
    <w:rsid w:val="00A43B8D"/>
    <w:rsid w:val="00A51E37"/>
    <w:rsid w:val="00A57CA0"/>
    <w:rsid w:val="00A64D8E"/>
    <w:rsid w:val="00A6583A"/>
    <w:rsid w:val="00A711CD"/>
    <w:rsid w:val="00A762B5"/>
    <w:rsid w:val="00A8048E"/>
    <w:rsid w:val="00A93DD2"/>
    <w:rsid w:val="00AA29E3"/>
    <w:rsid w:val="00AB4E3F"/>
    <w:rsid w:val="00AC57E1"/>
    <w:rsid w:val="00AC5D70"/>
    <w:rsid w:val="00AE12A5"/>
    <w:rsid w:val="00B05A2F"/>
    <w:rsid w:val="00B13AFF"/>
    <w:rsid w:val="00B15C70"/>
    <w:rsid w:val="00B42D09"/>
    <w:rsid w:val="00B6075A"/>
    <w:rsid w:val="00B64CB7"/>
    <w:rsid w:val="00B7149E"/>
    <w:rsid w:val="00B83928"/>
    <w:rsid w:val="00B914FD"/>
    <w:rsid w:val="00B930F1"/>
    <w:rsid w:val="00BC6634"/>
    <w:rsid w:val="00BD12F6"/>
    <w:rsid w:val="00BE16B5"/>
    <w:rsid w:val="00C050C9"/>
    <w:rsid w:val="00C30DC5"/>
    <w:rsid w:val="00C52B2F"/>
    <w:rsid w:val="00C57A7B"/>
    <w:rsid w:val="00C704DA"/>
    <w:rsid w:val="00CA662F"/>
    <w:rsid w:val="00CC6668"/>
    <w:rsid w:val="00CC6ED0"/>
    <w:rsid w:val="00D041A3"/>
    <w:rsid w:val="00D22E4A"/>
    <w:rsid w:val="00D43B6E"/>
    <w:rsid w:val="00D54D1D"/>
    <w:rsid w:val="00D630CC"/>
    <w:rsid w:val="00D87B39"/>
    <w:rsid w:val="00DB61D6"/>
    <w:rsid w:val="00DC455A"/>
    <w:rsid w:val="00DD3697"/>
    <w:rsid w:val="00E20D23"/>
    <w:rsid w:val="00E26AB5"/>
    <w:rsid w:val="00E3177C"/>
    <w:rsid w:val="00E3766A"/>
    <w:rsid w:val="00E607CA"/>
    <w:rsid w:val="00E61193"/>
    <w:rsid w:val="00E63B7B"/>
    <w:rsid w:val="00E81997"/>
    <w:rsid w:val="00E9053E"/>
    <w:rsid w:val="00E90CC1"/>
    <w:rsid w:val="00E94288"/>
    <w:rsid w:val="00E972F4"/>
    <w:rsid w:val="00EA4060"/>
    <w:rsid w:val="00EA7BE8"/>
    <w:rsid w:val="00EB3F3D"/>
    <w:rsid w:val="00ED4AE6"/>
    <w:rsid w:val="00EE67BA"/>
    <w:rsid w:val="00F36080"/>
    <w:rsid w:val="00F37517"/>
    <w:rsid w:val="00F56D63"/>
    <w:rsid w:val="00F7114F"/>
    <w:rsid w:val="00F74DD4"/>
    <w:rsid w:val="00F83EBD"/>
    <w:rsid w:val="00F86422"/>
    <w:rsid w:val="00F907D1"/>
    <w:rsid w:val="00FA0824"/>
    <w:rsid w:val="00FD6755"/>
    <w:rsid w:val="00FE622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4182b8"/>
    </o:shapedefaults>
    <o:shapelayout v:ext="edit">
      <o:idmap v:ext="edit" data="1"/>
    </o:shapelayout>
  </w:shapeDefaults>
  <w:doNotEmbedSmartTags/>
  <w:decimalSymbol w:val="."/>
  <w:listSeparator w:val=","/>
  <w14:docId w14:val="05B60650"/>
  <w15:docId w15:val="{D5A7DBE8-DFE4-41D4-915F-2931E111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th-TH"/>
      </w:rPr>
    </w:rPrDefault>
    <w:pPrDefault/>
  </w:docDefaults>
  <w:latentStyles w:defLockedState="0" w:defUIPriority="99" w:defSemiHidden="0" w:defUnhideWhenUsed="0" w:defQFormat="0" w:count="375">
    <w:lsdException w:name="Normal" w:uiPriority="0" w:qFormat="1"/>
    <w:lsdException w:name="heading 1" w:uiPriority="1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qFormat="1"/>
    <w:lsdException w:name="Emphasis"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0" w:qFormat="1"/>
    <w:lsdException w:name="Intense Quote"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2" w:qFormat="1"/>
    <w:lsdException w:name="Subtle Reference" w:uiPriority="32" w:qFormat="1"/>
    <w:lsdException w:name="Intense Reference" w:uiPriority="33" w:qFormat="1"/>
    <w:lsdException w:name="Book Title" w:uiPriority="34"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497"/>
    <w:rPr>
      <w:sz w:val="24"/>
      <w:szCs w:val="24"/>
      <w:lang w:bidi="ar-SA"/>
    </w:rPr>
  </w:style>
  <w:style w:type="paragraph" w:styleId="Heading1">
    <w:name w:val="heading 1"/>
    <w:aliases w:val="Section Title toc"/>
    <w:basedOn w:val="Normal"/>
    <w:next w:val="Normal"/>
    <w:link w:val="Heading1Char"/>
    <w:uiPriority w:val="10"/>
    <w:qFormat/>
    <w:rsid w:val="0007090A"/>
    <w:pPr>
      <w:keepNext/>
      <w:spacing w:before="240" w:after="60"/>
      <w:outlineLvl w:val="0"/>
    </w:pPr>
    <w:rPr>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39615D"/>
    <w:rPr>
      <w:sz w:val="18"/>
    </w:rPr>
  </w:style>
  <w:style w:type="paragraph" w:customStyle="1" w:styleId="SectionTitle">
    <w:name w:val="Section Title"/>
    <w:rsid w:val="00CC7F60"/>
    <w:rPr>
      <w:b/>
      <w:sz w:val="28"/>
      <w:szCs w:val="24"/>
      <w:lang w:bidi="ar-SA"/>
    </w:rPr>
  </w:style>
  <w:style w:type="paragraph" w:customStyle="1" w:styleId="SectionSubtitle">
    <w:name w:val="Section Subtitle"/>
    <w:basedOn w:val="SectionTitle"/>
    <w:rsid w:val="00CC7F60"/>
    <w:rPr>
      <w:sz w:val="24"/>
    </w:rPr>
  </w:style>
  <w:style w:type="paragraph" w:customStyle="1" w:styleId="ToC">
    <w:name w:val="ToC"/>
    <w:basedOn w:val="Normal"/>
    <w:next w:val="Normal"/>
    <w:rsid w:val="00CC7F60"/>
    <w:rPr>
      <w:sz w:val="22"/>
    </w:rPr>
  </w:style>
  <w:style w:type="paragraph" w:customStyle="1" w:styleId="ProcedureParttoc">
    <w:name w:val="Procedure Part toc"/>
    <w:basedOn w:val="Subtitle"/>
    <w:qFormat/>
    <w:rsid w:val="00757891"/>
    <w:rPr>
      <w:b w:val="0"/>
      <w:i/>
    </w:rPr>
  </w:style>
  <w:style w:type="paragraph" w:styleId="ListBullet">
    <w:name w:val="List Bullet"/>
    <w:basedOn w:val="Normal"/>
    <w:rsid w:val="0097524A"/>
    <w:pPr>
      <w:numPr>
        <w:numId w:val="1"/>
      </w:numPr>
      <w:spacing w:line="360" w:lineRule="auto"/>
      <w:ind w:left="720"/>
    </w:pPr>
  </w:style>
  <w:style w:type="paragraph" w:styleId="ListNumber">
    <w:name w:val="List Number"/>
    <w:basedOn w:val="Normal"/>
    <w:link w:val="ListNumberChar"/>
    <w:rsid w:val="0077405E"/>
    <w:pPr>
      <w:numPr>
        <w:numId w:val="2"/>
      </w:numPr>
      <w:spacing w:line="360" w:lineRule="auto"/>
    </w:pPr>
  </w:style>
  <w:style w:type="paragraph" w:customStyle="1" w:styleId="Figurecaptions">
    <w:name w:val="Figure captions"/>
    <w:basedOn w:val="Normal"/>
    <w:rsid w:val="0039615D"/>
    <w:rPr>
      <w:sz w:val="22"/>
    </w:rPr>
  </w:style>
  <w:style w:type="paragraph" w:styleId="TOC1">
    <w:name w:val="toc 1"/>
    <w:basedOn w:val="Normal"/>
    <w:next w:val="Normal"/>
    <w:autoRedefine/>
    <w:uiPriority w:val="39"/>
    <w:unhideWhenUsed/>
    <w:rsid w:val="00D041A3"/>
  </w:style>
  <w:style w:type="paragraph" w:styleId="CommentText">
    <w:name w:val="annotation text"/>
    <w:basedOn w:val="Normal"/>
    <w:semiHidden/>
    <w:rsid w:val="0039615D"/>
  </w:style>
  <w:style w:type="paragraph" w:styleId="CommentSubject">
    <w:name w:val="annotation subject"/>
    <w:basedOn w:val="CommentText"/>
    <w:next w:val="CommentText"/>
    <w:semiHidden/>
    <w:rsid w:val="0039615D"/>
  </w:style>
  <w:style w:type="paragraph" w:styleId="BalloonText">
    <w:name w:val="Balloon Text"/>
    <w:basedOn w:val="Normal"/>
    <w:semiHidden/>
    <w:rsid w:val="0039615D"/>
    <w:rPr>
      <w:rFonts w:ascii="Lucida Grande" w:hAnsi="Lucida Grande"/>
      <w:sz w:val="18"/>
      <w:szCs w:val="18"/>
    </w:rPr>
  </w:style>
  <w:style w:type="paragraph" w:styleId="Header">
    <w:name w:val="header"/>
    <w:basedOn w:val="Normal"/>
    <w:uiPriority w:val="1"/>
    <w:rsid w:val="0039615D"/>
    <w:pPr>
      <w:tabs>
        <w:tab w:val="center" w:pos="4320"/>
        <w:tab w:val="right" w:pos="8640"/>
      </w:tabs>
    </w:pPr>
  </w:style>
  <w:style w:type="paragraph" w:customStyle="1" w:styleId="CoverPageTitle">
    <w:name w:val="Cover Page Title"/>
    <w:basedOn w:val="SectionTitle"/>
    <w:rsid w:val="0039615D"/>
    <w:rPr>
      <w:color w:val="FFFFFF"/>
      <w:sz w:val="32"/>
    </w:rPr>
  </w:style>
  <w:style w:type="paragraph" w:customStyle="1" w:styleId="CoverPageText">
    <w:name w:val="Cover Page Text"/>
    <w:basedOn w:val="SectionTitle"/>
    <w:rsid w:val="0039615D"/>
  </w:style>
  <w:style w:type="paragraph" w:customStyle="1" w:styleId="CoverPageInvitroModule">
    <w:name w:val="Cover Page In vitro Module"/>
    <w:basedOn w:val="CoverPageText"/>
    <w:rsid w:val="008F0497"/>
    <w:rPr>
      <w:color w:val="F4B66F"/>
    </w:rPr>
  </w:style>
  <w:style w:type="paragraph" w:customStyle="1" w:styleId="CoverPageWhiteText">
    <w:name w:val="Cover Page White Text"/>
    <w:basedOn w:val="CoverPageText"/>
    <w:rsid w:val="0039615D"/>
    <w:rPr>
      <w:color w:val="FFFFFF"/>
    </w:rPr>
  </w:style>
  <w:style w:type="paragraph" w:styleId="Footer">
    <w:name w:val="footer"/>
    <w:basedOn w:val="Normal"/>
    <w:rsid w:val="0039615D"/>
    <w:pPr>
      <w:tabs>
        <w:tab w:val="center" w:pos="4320"/>
        <w:tab w:val="right" w:pos="8640"/>
      </w:tabs>
    </w:pPr>
  </w:style>
  <w:style w:type="character" w:styleId="PageNumber">
    <w:name w:val="page number"/>
    <w:basedOn w:val="DefaultParagraphFont"/>
    <w:uiPriority w:val="1"/>
    <w:rsid w:val="0039615D"/>
  </w:style>
  <w:style w:type="character" w:styleId="Hyperlink">
    <w:name w:val="Hyperlink"/>
    <w:basedOn w:val="DefaultParagraphFont"/>
    <w:uiPriority w:val="99"/>
    <w:rsid w:val="0097524A"/>
    <w:rPr>
      <w:color w:val="0000FF"/>
      <w:u w:val="single"/>
    </w:rPr>
  </w:style>
  <w:style w:type="table" w:customStyle="1" w:styleId="sopTable1">
    <w:name w:val="sop Table 1"/>
    <w:basedOn w:val="TableNormal"/>
    <w:rsid w:val="0088384B"/>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customStyle="1" w:styleId="sopTableHeader">
    <w:name w:val="sop Table Header"/>
    <w:basedOn w:val="sopTable1"/>
    <w:rsid w:val="0088384B"/>
    <w:tblPr/>
    <w:tblStylePr w:type="firstRow">
      <w:rPr>
        <w:rFonts w:ascii="Calibri" w:hAnsi="Calibri"/>
        <w:b/>
        <w:color w:val="FFFFFF"/>
        <w:sz w:val="24"/>
      </w:rPr>
      <w:tblPr/>
      <w:tcPr>
        <w:shd w:val="clear" w:color="auto" w:fill="51A2D9"/>
      </w:tcPr>
    </w:tblStylePr>
  </w:style>
  <w:style w:type="table" w:styleId="TableGrid">
    <w:name w:val="Table Grid"/>
    <w:basedOn w:val="TableNormal"/>
    <w:uiPriority w:val="59"/>
    <w:rsid w:val="008838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OPClinical">
    <w:name w:val="Table SOP Clinical"/>
    <w:basedOn w:val="sopTableHeader"/>
    <w:rsid w:val="0088384B"/>
    <w:tblPr/>
    <w:tblStylePr w:type="firstRow">
      <w:rPr>
        <w:rFonts w:ascii="Calibri" w:hAnsi="Calibri"/>
        <w:b/>
        <w:color w:val="FFFFFF"/>
        <w:sz w:val="24"/>
      </w:rPr>
      <w:tblPr/>
      <w:tcPr>
        <w:shd w:val="clear" w:color="auto" w:fill="51A2D9"/>
      </w:tcPr>
    </w:tblStylePr>
  </w:style>
  <w:style w:type="character" w:customStyle="1" w:styleId="ListNumberChar">
    <w:name w:val="List Number Char"/>
    <w:basedOn w:val="DefaultParagraphFont"/>
    <w:link w:val="ListNumber"/>
    <w:rsid w:val="0077405E"/>
    <w:rPr>
      <w:sz w:val="24"/>
      <w:szCs w:val="24"/>
      <w:lang w:bidi="ar-SA"/>
    </w:rPr>
  </w:style>
  <w:style w:type="character" w:customStyle="1" w:styleId="ListNumber2ndinstanceChar">
    <w:name w:val="List Number 2nd instance Char"/>
    <w:basedOn w:val="ListNumberChar"/>
    <w:rsid w:val="0077405E"/>
    <w:rPr>
      <w:sz w:val="24"/>
      <w:szCs w:val="24"/>
      <w:lang w:val="en-US" w:eastAsia="en-US" w:bidi="ar-SA"/>
    </w:rPr>
  </w:style>
  <w:style w:type="paragraph" w:customStyle="1" w:styleId="Figurecaptionsbold">
    <w:name w:val="Figure captions bold"/>
    <w:basedOn w:val="Figurecaptions"/>
    <w:qFormat/>
    <w:rsid w:val="00AE12A5"/>
    <w:rPr>
      <w:b/>
      <w:szCs w:val="20"/>
    </w:rPr>
  </w:style>
  <w:style w:type="paragraph" w:customStyle="1" w:styleId="VersionHistorytext">
    <w:name w:val="Version History text"/>
    <w:basedOn w:val="SectionSubtitle"/>
    <w:rsid w:val="00433303"/>
    <w:rPr>
      <w:bCs/>
      <w:sz w:val="18"/>
    </w:rPr>
  </w:style>
  <w:style w:type="character" w:customStyle="1" w:styleId="Heading1Char">
    <w:name w:val="Heading 1 Char"/>
    <w:aliases w:val="Section Title toc Char"/>
    <w:basedOn w:val="DefaultParagraphFont"/>
    <w:link w:val="Heading1"/>
    <w:uiPriority w:val="10"/>
    <w:rsid w:val="0007090A"/>
    <w:rPr>
      <w:b/>
      <w:bCs/>
      <w:kern w:val="32"/>
      <w:sz w:val="28"/>
      <w:szCs w:val="32"/>
      <w:lang w:val="en-US" w:eastAsia="en-US"/>
    </w:rPr>
  </w:style>
  <w:style w:type="paragraph" w:styleId="TOCHeading">
    <w:name w:val="TOC Heading"/>
    <w:basedOn w:val="Heading1"/>
    <w:next w:val="Normal"/>
    <w:uiPriority w:val="39"/>
    <w:semiHidden/>
    <w:unhideWhenUsed/>
    <w:qFormat/>
    <w:rsid w:val="008B6CCA"/>
    <w:pPr>
      <w:keepLines/>
      <w:spacing w:before="480" w:after="0" w:line="276" w:lineRule="auto"/>
      <w:outlineLvl w:val="9"/>
    </w:pPr>
    <w:rPr>
      <w:color w:val="365F91"/>
      <w:kern w:val="0"/>
      <w:szCs w:val="28"/>
    </w:rPr>
  </w:style>
  <w:style w:type="paragraph" w:styleId="Subtitle">
    <w:name w:val="Subtitle"/>
    <w:aliases w:val="Section Subtitle toc"/>
    <w:basedOn w:val="Normal"/>
    <w:next w:val="Normal"/>
    <w:link w:val="SubtitleChar"/>
    <w:uiPriority w:val="12"/>
    <w:qFormat/>
    <w:rsid w:val="00005B9A"/>
    <w:pPr>
      <w:spacing w:before="120" w:after="120"/>
      <w:outlineLvl w:val="1"/>
    </w:pPr>
    <w:rPr>
      <w:b/>
    </w:rPr>
  </w:style>
  <w:style w:type="character" w:customStyle="1" w:styleId="SubtitleChar">
    <w:name w:val="Subtitle Char"/>
    <w:aliases w:val="Section Subtitle toc Char"/>
    <w:basedOn w:val="DefaultParagraphFont"/>
    <w:link w:val="Subtitle"/>
    <w:uiPriority w:val="12"/>
    <w:rsid w:val="00005B9A"/>
    <w:rPr>
      <w:rFonts w:ascii="Calibri" w:eastAsia="Times New Roman" w:hAnsi="Calibri" w:cs="Times New Roman"/>
      <w:b/>
      <w:sz w:val="24"/>
      <w:szCs w:val="24"/>
      <w:lang w:val="en-US" w:eastAsia="en-US"/>
    </w:rPr>
  </w:style>
  <w:style w:type="paragraph" w:styleId="TOC2">
    <w:name w:val="toc 2"/>
    <w:basedOn w:val="Normal"/>
    <w:next w:val="Normal"/>
    <w:autoRedefine/>
    <w:uiPriority w:val="39"/>
    <w:unhideWhenUsed/>
    <w:rsid w:val="00D041A3"/>
    <w:pPr>
      <w:ind w:left="240"/>
    </w:pPr>
  </w:style>
  <w:style w:type="paragraph" w:styleId="TOC3">
    <w:name w:val="toc 3"/>
    <w:basedOn w:val="Normal"/>
    <w:next w:val="Normal"/>
    <w:autoRedefine/>
    <w:uiPriority w:val="39"/>
    <w:semiHidden/>
    <w:unhideWhenUsed/>
    <w:rsid w:val="00C704DA"/>
    <w:pPr>
      <w:ind w:left="480"/>
    </w:pPr>
  </w:style>
  <w:style w:type="paragraph" w:customStyle="1" w:styleId="StyleCoverPageInvitroModuleItalic">
    <w:name w:val="Style Cover Page In vitro Module + Italic"/>
    <w:basedOn w:val="CoverPageInvitroModule"/>
    <w:rsid w:val="008F0497"/>
    <w:rPr>
      <w:bCs/>
      <w:i/>
      <w:iCs/>
    </w:rPr>
  </w:style>
  <w:style w:type="paragraph" w:customStyle="1" w:styleId="StyleCoverPagePharmacologyModuleItalicCustomColorRGB157164">
    <w:name w:val="Style Cover Page Pharmacology Module + Italic Custom Color(RGB(157164..."/>
    <w:basedOn w:val="CoverPageInvitroModule"/>
    <w:rsid w:val="00D630CC"/>
    <w:rPr>
      <w:bCs/>
      <w:i/>
      <w:iCs/>
      <w:color w:val="A78F91"/>
    </w:rPr>
  </w:style>
  <w:style w:type="paragraph" w:customStyle="1" w:styleId="StyleTOCHeadingCustomColorRGB244182111">
    <w:name w:val="Style TOC Heading + Custom Color(RGB(244182111))"/>
    <w:basedOn w:val="TOCHeading"/>
    <w:rsid w:val="00D87B39"/>
    <w:rPr>
      <w:color w:val="A78F91"/>
    </w:rPr>
  </w:style>
  <w:style w:type="paragraph" w:customStyle="1" w:styleId="StyleStyleCoverPagePharmacologyModuleItalicCustomColorRG">
    <w:name w:val="Style Style Cover Page Pharmacology Module + Italic Custom Color(RG..."/>
    <w:basedOn w:val="StyleCoverPagePharmacologyModuleItalicCustomColorRGB157164"/>
    <w:rsid w:val="00801B6E"/>
    <w:rPr>
      <w:i w:val="0"/>
      <w:iCs w:val="0"/>
      <w:sz w:val="32"/>
    </w:rPr>
  </w:style>
  <w:style w:type="paragraph" w:styleId="BodyText">
    <w:name w:val="Body Text"/>
    <w:basedOn w:val="Normal"/>
    <w:link w:val="BodyTextChar"/>
    <w:rsid w:val="003D7951"/>
    <w:pPr>
      <w:ind w:left="850"/>
    </w:pPr>
    <w:rPr>
      <w:rFonts w:ascii="Times New Roman" w:hAnsi="Times New Roman" w:cs="Angsana New"/>
      <w:szCs w:val="20"/>
      <w:lang w:val="en-GB" w:eastAsia="sv-SE"/>
    </w:rPr>
  </w:style>
  <w:style w:type="character" w:customStyle="1" w:styleId="BodyTextChar">
    <w:name w:val="Body Text Char"/>
    <w:basedOn w:val="DefaultParagraphFont"/>
    <w:link w:val="BodyText"/>
    <w:rsid w:val="003D7951"/>
    <w:rPr>
      <w:rFonts w:ascii="Times New Roman" w:hAnsi="Times New Roman" w:cs="Angsana New"/>
      <w:sz w:val="24"/>
      <w:lang w:val="en-GB" w:eastAsia="sv-SE" w:bidi="ar-SA"/>
    </w:rPr>
  </w:style>
  <w:style w:type="paragraph" w:styleId="ListBullet2">
    <w:name w:val="List Bullet 2"/>
    <w:basedOn w:val="Normal"/>
    <w:autoRedefine/>
    <w:rsid w:val="003D7951"/>
    <w:pPr>
      <w:tabs>
        <w:tab w:val="num" w:pos="720"/>
      </w:tabs>
      <w:ind w:left="720" w:hanging="360"/>
    </w:pPr>
    <w:rPr>
      <w:rFonts w:ascii="Arial" w:hAnsi="Arial" w:cs="Angsana New"/>
      <w:sz w:val="22"/>
      <w:szCs w:val="20"/>
      <w:lang w:val="sv-SE" w:eastAsia="sv-SE"/>
    </w:rPr>
  </w:style>
  <w:style w:type="paragraph" w:styleId="ListParagraph">
    <w:name w:val="List Paragraph"/>
    <w:basedOn w:val="Normal"/>
    <w:uiPriority w:val="34"/>
    <w:qFormat/>
    <w:rsid w:val="004B77E5"/>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882EA0"/>
    <w:pPr>
      <w:autoSpaceDE w:val="0"/>
      <w:autoSpaceDN w:val="0"/>
      <w:adjustRightInd w:val="0"/>
    </w:pPr>
    <w:rPr>
      <w:rFonts w:ascii="Berkeley Book" w:hAnsi="Berkeley Book" w:cs="Berkeley Book"/>
      <w:color w:val="000000"/>
      <w:sz w:val="24"/>
      <w:szCs w:val="24"/>
      <w:lang w:bidi="ar-SA"/>
    </w:rPr>
  </w:style>
  <w:style w:type="paragraph" w:customStyle="1" w:styleId="Pa17">
    <w:name w:val="Pa17"/>
    <w:basedOn w:val="Default"/>
    <w:next w:val="Default"/>
    <w:uiPriority w:val="99"/>
    <w:rsid w:val="00882EA0"/>
    <w:pPr>
      <w:spacing w:line="201" w:lineRule="atLeast"/>
    </w:pPr>
    <w:rPr>
      <w:rFonts w:cs="Times New Roman"/>
      <w:color w:val="auto"/>
    </w:rPr>
  </w:style>
  <w:style w:type="character" w:customStyle="1" w:styleId="A10">
    <w:name w:val="A10"/>
    <w:uiPriority w:val="99"/>
    <w:rsid w:val="00882EA0"/>
    <w:rPr>
      <w:rFonts w:cs="Berkeley Book"/>
      <w:color w:val="000000"/>
      <w:sz w:val="20"/>
      <w:szCs w:val="20"/>
      <w:u w:val="single"/>
    </w:rPr>
  </w:style>
  <w:style w:type="paragraph" w:styleId="Revision">
    <w:name w:val="Revision"/>
    <w:hidden/>
    <w:uiPriority w:val="99"/>
    <w:semiHidden/>
    <w:rsid w:val="005657B1"/>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war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is\Local%20Settings\Temporary%20Internet%20Files\Content.IE5\0DRBAOAW\SOP%2520Template_Pharmacology%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D19EA6AF6426499A322E1DBBAB0F19" ma:contentTypeVersion="0" ma:contentTypeDescription="Create a new document." ma:contentTypeScope="" ma:versionID="c007b8ef22eae6f9116858e4af33b4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E2E09-C5D3-451A-A06E-AEACE2414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501842-7873-496C-83D8-FD7FB0C2F7C6}">
  <ds:schemaRefs>
    <ds:schemaRef ds:uri="http://schemas.microsoft.com/sharepoint/v3/contenttype/forms"/>
  </ds:schemaRefs>
</ds:datastoreItem>
</file>

<file path=customXml/itemProps3.xml><?xml version="1.0" encoding="utf-8"?>
<ds:datastoreItem xmlns:ds="http://schemas.openxmlformats.org/officeDocument/2006/customXml" ds:itemID="{D848CCC5-7F0F-4273-BA10-E41DDD0EF0C0}">
  <ds:schemaRefs>
    <ds:schemaRef ds:uri="http://schemas.microsoft.com/office/2006/metadata/properties"/>
  </ds:schemaRefs>
</ds:datastoreItem>
</file>

<file path=customXml/itemProps4.xml><?xml version="1.0" encoding="utf-8"?>
<ds:datastoreItem xmlns:ds="http://schemas.openxmlformats.org/officeDocument/2006/customXml" ds:itemID="{41BD2AAD-495E-42B8-B45E-0B2266C5C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SOP%20Template_Pharmacology[1]</Template>
  <TotalTime>10</TotalTime>
  <Pages>1</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SOP Template - Clinical Module</vt:lpstr>
    </vt:vector>
  </TitlesOfParts>
  <Manager>Clinical Scientific Coordinator</Manager>
  <Company>WWARN</Company>
  <LinksUpToDate>false</LinksUpToDate>
  <CharactersWithSpaces>6272</CharactersWithSpaces>
  <SharedDoc>false</SharedDoc>
  <HyperlinkBase/>
  <HLinks>
    <vt:vector size="84" baseType="variant">
      <vt:variant>
        <vt:i4>7143470</vt:i4>
      </vt:variant>
      <vt:variant>
        <vt:i4>78</vt:i4>
      </vt:variant>
      <vt:variant>
        <vt:i4>0</vt:i4>
      </vt:variant>
      <vt:variant>
        <vt:i4>5</vt:i4>
      </vt:variant>
      <vt:variant>
        <vt:lpwstr>http://www.freewebs.com/eldri123/Package insert/Lymphoprep.pdf</vt:lpwstr>
      </vt:variant>
      <vt:variant>
        <vt:lpwstr/>
      </vt:variant>
      <vt:variant>
        <vt:i4>1310779</vt:i4>
      </vt:variant>
      <vt:variant>
        <vt:i4>71</vt:i4>
      </vt:variant>
      <vt:variant>
        <vt:i4>0</vt:i4>
      </vt:variant>
      <vt:variant>
        <vt:i4>5</vt:i4>
      </vt:variant>
      <vt:variant>
        <vt:lpwstr/>
      </vt:variant>
      <vt:variant>
        <vt:lpwstr>_Toc262021944</vt:lpwstr>
      </vt:variant>
      <vt:variant>
        <vt:i4>1310779</vt:i4>
      </vt:variant>
      <vt:variant>
        <vt:i4>65</vt:i4>
      </vt:variant>
      <vt:variant>
        <vt:i4>0</vt:i4>
      </vt:variant>
      <vt:variant>
        <vt:i4>5</vt:i4>
      </vt:variant>
      <vt:variant>
        <vt:lpwstr/>
      </vt:variant>
      <vt:variant>
        <vt:lpwstr>_Toc262021943</vt:lpwstr>
      </vt:variant>
      <vt:variant>
        <vt:i4>1310779</vt:i4>
      </vt:variant>
      <vt:variant>
        <vt:i4>59</vt:i4>
      </vt:variant>
      <vt:variant>
        <vt:i4>0</vt:i4>
      </vt:variant>
      <vt:variant>
        <vt:i4>5</vt:i4>
      </vt:variant>
      <vt:variant>
        <vt:lpwstr/>
      </vt:variant>
      <vt:variant>
        <vt:lpwstr>_Toc262021942</vt:lpwstr>
      </vt:variant>
      <vt:variant>
        <vt:i4>1310779</vt:i4>
      </vt:variant>
      <vt:variant>
        <vt:i4>53</vt:i4>
      </vt:variant>
      <vt:variant>
        <vt:i4>0</vt:i4>
      </vt:variant>
      <vt:variant>
        <vt:i4>5</vt:i4>
      </vt:variant>
      <vt:variant>
        <vt:lpwstr/>
      </vt:variant>
      <vt:variant>
        <vt:lpwstr>_Toc262021941</vt:lpwstr>
      </vt:variant>
      <vt:variant>
        <vt:i4>1310779</vt:i4>
      </vt:variant>
      <vt:variant>
        <vt:i4>47</vt:i4>
      </vt:variant>
      <vt:variant>
        <vt:i4>0</vt:i4>
      </vt:variant>
      <vt:variant>
        <vt:i4>5</vt:i4>
      </vt:variant>
      <vt:variant>
        <vt:lpwstr/>
      </vt:variant>
      <vt:variant>
        <vt:lpwstr>_Toc262021940</vt:lpwstr>
      </vt:variant>
      <vt:variant>
        <vt:i4>1245243</vt:i4>
      </vt:variant>
      <vt:variant>
        <vt:i4>41</vt:i4>
      </vt:variant>
      <vt:variant>
        <vt:i4>0</vt:i4>
      </vt:variant>
      <vt:variant>
        <vt:i4>5</vt:i4>
      </vt:variant>
      <vt:variant>
        <vt:lpwstr/>
      </vt:variant>
      <vt:variant>
        <vt:lpwstr>_Toc262021939</vt:lpwstr>
      </vt:variant>
      <vt:variant>
        <vt:i4>1245243</vt:i4>
      </vt:variant>
      <vt:variant>
        <vt:i4>35</vt:i4>
      </vt:variant>
      <vt:variant>
        <vt:i4>0</vt:i4>
      </vt:variant>
      <vt:variant>
        <vt:i4>5</vt:i4>
      </vt:variant>
      <vt:variant>
        <vt:lpwstr/>
      </vt:variant>
      <vt:variant>
        <vt:lpwstr>_Toc262021938</vt:lpwstr>
      </vt:variant>
      <vt:variant>
        <vt:i4>1245243</vt:i4>
      </vt:variant>
      <vt:variant>
        <vt:i4>29</vt:i4>
      </vt:variant>
      <vt:variant>
        <vt:i4>0</vt:i4>
      </vt:variant>
      <vt:variant>
        <vt:i4>5</vt:i4>
      </vt:variant>
      <vt:variant>
        <vt:lpwstr/>
      </vt:variant>
      <vt:variant>
        <vt:lpwstr>_Toc262021937</vt:lpwstr>
      </vt:variant>
      <vt:variant>
        <vt:i4>1245243</vt:i4>
      </vt:variant>
      <vt:variant>
        <vt:i4>23</vt:i4>
      </vt:variant>
      <vt:variant>
        <vt:i4>0</vt:i4>
      </vt:variant>
      <vt:variant>
        <vt:i4>5</vt:i4>
      </vt:variant>
      <vt:variant>
        <vt:lpwstr/>
      </vt:variant>
      <vt:variant>
        <vt:lpwstr>_Toc262021936</vt:lpwstr>
      </vt:variant>
      <vt:variant>
        <vt:i4>1245243</vt:i4>
      </vt:variant>
      <vt:variant>
        <vt:i4>17</vt:i4>
      </vt:variant>
      <vt:variant>
        <vt:i4>0</vt:i4>
      </vt:variant>
      <vt:variant>
        <vt:i4>5</vt:i4>
      </vt:variant>
      <vt:variant>
        <vt:lpwstr/>
      </vt:variant>
      <vt:variant>
        <vt:lpwstr>_Toc262021935</vt:lpwstr>
      </vt:variant>
      <vt:variant>
        <vt:i4>1245243</vt:i4>
      </vt:variant>
      <vt:variant>
        <vt:i4>11</vt:i4>
      </vt:variant>
      <vt:variant>
        <vt:i4>0</vt:i4>
      </vt:variant>
      <vt:variant>
        <vt:i4>5</vt:i4>
      </vt:variant>
      <vt:variant>
        <vt:lpwstr/>
      </vt:variant>
      <vt:variant>
        <vt:lpwstr>_Toc262021934</vt:lpwstr>
      </vt:variant>
      <vt:variant>
        <vt:i4>1245243</vt:i4>
      </vt:variant>
      <vt:variant>
        <vt:i4>5</vt:i4>
      </vt:variant>
      <vt:variant>
        <vt:i4>0</vt:i4>
      </vt:variant>
      <vt:variant>
        <vt:i4>5</vt:i4>
      </vt:variant>
      <vt:variant>
        <vt:lpwstr/>
      </vt:variant>
      <vt:variant>
        <vt:lpwstr>_Toc262021933</vt:lpwstr>
      </vt:variant>
      <vt:variant>
        <vt:i4>5963785</vt:i4>
      </vt:variant>
      <vt:variant>
        <vt:i4>0</vt:i4>
      </vt:variant>
      <vt:variant>
        <vt:i4>0</vt:i4>
      </vt:variant>
      <vt:variant>
        <vt:i4>5</vt:i4>
      </vt:variant>
      <vt:variant>
        <vt:lpwstr>http://www.wwarn.org/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Template - Clinical Module</dc:title>
  <dc:creator>Admin</dc:creator>
  <cp:lastModifiedBy>Elizabeth Allen</cp:lastModifiedBy>
  <cp:revision>9</cp:revision>
  <dcterms:created xsi:type="dcterms:W3CDTF">2015-10-02T11:41:00Z</dcterms:created>
  <dcterms:modified xsi:type="dcterms:W3CDTF">2018-09-15T09:15:00Z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0x0101004BD19EA6AF6426499A322E1DBBAB0F19</vt:lpwstr>
  </property>
</Properties>
</file>