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7D" w:rsidRDefault="004066E2" w:rsidP="004066E2">
      <w:pPr>
        <w:spacing w:after="0" w:line="240" w:lineRule="auto"/>
        <w:ind w:left="-1418" w:right="-1440"/>
        <w:jc w:val="center"/>
        <w:rPr>
          <w:sz w:val="48"/>
          <w:szCs w:val="48"/>
          <w:lang w:val="en-SG"/>
        </w:rPr>
      </w:pPr>
      <w:bookmarkStart w:id="0" w:name="_GoBack"/>
      <w:bookmarkEnd w:id="0"/>
      <w:r>
        <w:rPr>
          <w:noProof/>
          <w:sz w:val="48"/>
          <w:szCs w:val="4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4762500</wp:posOffset>
            </wp:positionH>
            <wp:positionV relativeFrom="margin">
              <wp:posOffset>-38100</wp:posOffset>
            </wp:positionV>
            <wp:extent cx="1038225" cy="1009650"/>
            <wp:effectExtent l="0" t="0" r="0" b="0"/>
            <wp:wrapSquare wrapText="bothSides"/>
            <wp:docPr id="2" name="Picture 2" descr="https://pbs.twimg.com/profile_images/1498113412/WWARN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ttps://pbs.twimg.com/profile_images/1498113412/WWARN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54FC">
        <w:rPr>
          <w:noProof/>
          <w:sz w:val="48"/>
          <w:szCs w:val="4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-94615</wp:posOffset>
            </wp:positionH>
            <wp:positionV relativeFrom="margin">
              <wp:posOffset>6350</wp:posOffset>
            </wp:positionV>
            <wp:extent cx="1753870" cy="1057275"/>
            <wp:effectExtent l="0" t="0" r="0" b="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D7557D" w:rsidRDefault="00D7557D" w:rsidP="004066E2">
      <w:pPr>
        <w:spacing w:after="0" w:line="240" w:lineRule="auto"/>
        <w:ind w:left="-1418" w:right="-1440"/>
        <w:jc w:val="center"/>
        <w:rPr>
          <w:sz w:val="48"/>
          <w:szCs w:val="48"/>
          <w:lang w:val="en-SG"/>
        </w:rPr>
      </w:pPr>
    </w:p>
    <w:p w:rsidR="00D7557D" w:rsidRDefault="00D7557D" w:rsidP="004066E2">
      <w:pPr>
        <w:spacing w:after="0" w:line="240" w:lineRule="auto"/>
        <w:ind w:left="-1418" w:right="-1440"/>
        <w:jc w:val="center"/>
        <w:rPr>
          <w:sz w:val="48"/>
          <w:szCs w:val="48"/>
          <w:lang w:val="en-SG"/>
        </w:rPr>
      </w:pPr>
    </w:p>
    <w:p w:rsidR="00D7557D" w:rsidRDefault="00D7557D" w:rsidP="004066E2">
      <w:pPr>
        <w:spacing w:after="0" w:line="240" w:lineRule="auto"/>
        <w:ind w:left="-1418" w:right="-1440"/>
        <w:jc w:val="center"/>
        <w:rPr>
          <w:sz w:val="48"/>
          <w:szCs w:val="48"/>
          <w:lang w:val="en-SG"/>
        </w:rPr>
      </w:pPr>
    </w:p>
    <w:p w:rsidR="004066E2" w:rsidRDefault="004066E2" w:rsidP="004066E2">
      <w:pPr>
        <w:spacing w:after="0" w:line="240" w:lineRule="auto"/>
        <w:jc w:val="center"/>
        <w:rPr>
          <w:b/>
          <w:bCs/>
          <w:sz w:val="48"/>
          <w:szCs w:val="48"/>
          <w:lang w:val="en-SG"/>
        </w:rPr>
      </w:pPr>
    </w:p>
    <w:p w:rsidR="004066E2" w:rsidRDefault="004066E2" w:rsidP="004066E2">
      <w:pPr>
        <w:spacing w:after="0" w:line="240" w:lineRule="auto"/>
        <w:jc w:val="center"/>
        <w:rPr>
          <w:b/>
          <w:bCs/>
          <w:sz w:val="48"/>
          <w:szCs w:val="48"/>
          <w:lang w:val="en-SG"/>
        </w:rPr>
      </w:pPr>
    </w:p>
    <w:p w:rsidR="004066E2" w:rsidRDefault="004066E2" w:rsidP="004066E2">
      <w:pPr>
        <w:spacing w:after="0" w:line="240" w:lineRule="auto"/>
        <w:jc w:val="center"/>
        <w:rPr>
          <w:b/>
          <w:bCs/>
          <w:sz w:val="48"/>
          <w:szCs w:val="48"/>
          <w:lang w:val="en-SG"/>
        </w:rPr>
      </w:pPr>
    </w:p>
    <w:p w:rsidR="004066E2" w:rsidRPr="0097615B" w:rsidRDefault="004066E2" w:rsidP="004066E2">
      <w:pPr>
        <w:spacing w:after="0" w:line="240" w:lineRule="auto"/>
        <w:jc w:val="center"/>
        <w:rPr>
          <w:b/>
          <w:bCs/>
          <w:sz w:val="48"/>
          <w:szCs w:val="48"/>
          <w:lang w:val="en-SG"/>
        </w:rPr>
      </w:pPr>
    </w:p>
    <w:p w:rsidR="004066E2" w:rsidRPr="0097615B" w:rsidRDefault="004066E2" w:rsidP="004066E2">
      <w:pPr>
        <w:spacing w:after="0" w:line="240" w:lineRule="auto"/>
        <w:jc w:val="center"/>
        <w:rPr>
          <w:b/>
          <w:bCs/>
          <w:sz w:val="48"/>
          <w:szCs w:val="48"/>
          <w:lang w:val="en-SG"/>
        </w:rPr>
      </w:pPr>
    </w:p>
    <w:p w:rsidR="00241F2D" w:rsidRDefault="004066E2" w:rsidP="004066E2">
      <w:pPr>
        <w:spacing w:after="0" w:line="240" w:lineRule="auto"/>
        <w:jc w:val="center"/>
        <w:rPr>
          <w:b/>
          <w:bCs/>
          <w:sz w:val="48"/>
          <w:szCs w:val="48"/>
          <w:lang w:val="en-SG"/>
        </w:rPr>
      </w:pPr>
      <w:r w:rsidRPr="0097615B">
        <w:rPr>
          <w:b/>
          <w:bCs/>
          <w:sz w:val="48"/>
          <w:szCs w:val="48"/>
          <w:lang w:val="en-SG"/>
        </w:rPr>
        <w:t xml:space="preserve">Artemisinin Resistance </w:t>
      </w:r>
    </w:p>
    <w:p w:rsidR="00D7557D" w:rsidRPr="0097615B" w:rsidRDefault="004066E2" w:rsidP="004066E2">
      <w:pPr>
        <w:spacing w:after="0" w:line="240" w:lineRule="auto"/>
        <w:jc w:val="center"/>
        <w:rPr>
          <w:b/>
          <w:bCs/>
          <w:sz w:val="48"/>
          <w:szCs w:val="48"/>
          <w:lang w:val="en-SG"/>
        </w:rPr>
      </w:pPr>
      <w:r w:rsidRPr="0097615B">
        <w:rPr>
          <w:b/>
          <w:bCs/>
          <w:sz w:val="48"/>
          <w:szCs w:val="48"/>
          <w:lang w:val="en-SG"/>
        </w:rPr>
        <w:t>M</w:t>
      </w:r>
      <w:r w:rsidR="00665194" w:rsidRPr="0097615B">
        <w:rPr>
          <w:b/>
          <w:bCs/>
          <w:sz w:val="48"/>
          <w:szCs w:val="48"/>
          <w:lang w:val="en-SG"/>
        </w:rPr>
        <w:t xml:space="preserve">onitoring </w:t>
      </w:r>
      <w:r w:rsidRPr="0097615B">
        <w:rPr>
          <w:b/>
          <w:bCs/>
          <w:sz w:val="48"/>
          <w:szCs w:val="48"/>
          <w:lang w:val="en-SG"/>
        </w:rPr>
        <w:t>Tools Workshop</w:t>
      </w:r>
    </w:p>
    <w:p w:rsidR="00D7557D" w:rsidRPr="0097615B" w:rsidRDefault="00D7557D" w:rsidP="004066E2">
      <w:pPr>
        <w:spacing w:after="0" w:line="240" w:lineRule="auto"/>
        <w:jc w:val="center"/>
        <w:rPr>
          <w:sz w:val="48"/>
          <w:szCs w:val="48"/>
          <w:lang w:val="en-SG"/>
        </w:rPr>
      </w:pPr>
    </w:p>
    <w:p w:rsidR="00665194" w:rsidRPr="0097615B" w:rsidRDefault="00665194" w:rsidP="004066E2">
      <w:pPr>
        <w:spacing w:after="0" w:line="240" w:lineRule="auto"/>
        <w:jc w:val="center"/>
        <w:rPr>
          <w:sz w:val="48"/>
          <w:szCs w:val="48"/>
          <w:lang w:val="en-SG"/>
        </w:rPr>
      </w:pPr>
    </w:p>
    <w:p w:rsidR="004066E2" w:rsidRPr="0097615B" w:rsidRDefault="004066E2" w:rsidP="004066E2">
      <w:pPr>
        <w:spacing w:after="0" w:line="240" w:lineRule="auto"/>
        <w:jc w:val="center"/>
        <w:rPr>
          <w:sz w:val="48"/>
          <w:szCs w:val="48"/>
          <w:lang w:val="en-SG"/>
        </w:rPr>
      </w:pPr>
    </w:p>
    <w:p w:rsidR="004066E2" w:rsidRPr="0097615B" w:rsidRDefault="004066E2" w:rsidP="004066E2">
      <w:pPr>
        <w:spacing w:after="0" w:line="240" w:lineRule="auto"/>
        <w:jc w:val="center"/>
        <w:rPr>
          <w:sz w:val="48"/>
          <w:szCs w:val="48"/>
          <w:lang w:val="en-SG"/>
        </w:rPr>
      </w:pPr>
    </w:p>
    <w:p w:rsidR="00665194" w:rsidRPr="0097615B" w:rsidRDefault="00CA199D" w:rsidP="004066E2">
      <w:pPr>
        <w:spacing w:after="0" w:line="240" w:lineRule="auto"/>
        <w:jc w:val="center"/>
        <w:rPr>
          <w:b/>
          <w:bCs/>
          <w:sz w:val="48"/>
          <w:szCs w:val="48"/>
          <w:lang w:val="en-SG"/>
        </w:rPr>
      </w:pPr>
      <w:r w:rsidRPr="0097615B">
        <w:rPr>
          <w:b/>
          <w:bCs/>
          <w:sz w:val="48"/>
          <w:szCs w:val="48"/>
          <w:lang w:val="en-SG"/>
        </w:rPr>
        <w:t>W</w:t>
      </w:r>
      <w:r w:rsidR="00BA54FC" w:rsidRPr="0097615B">
        <w:rPr>
          <w:b/>
          <w:bCs/>
          <w:sz w:val="48"/>
          <w:szCs w:val="48"/>
          <w:lang w:val="en-SG"/>
        </w:rPr>
        <w:t xml:space="preserve">WARN </w:t>
      </w:r>
      <w:r w:rsidR="00241F2D">
        <w:rPr>
          <w:b/>
          <w:bCs/>
          <w:i/>
          <w:iCs/>
          <w:sz w:val="48"/>
          <w:szCs w:val="48"/>
          <w:lang w:val="en-SG"/>
        </w:rPr>
        <w:t>I</w:t>
      </w:r>
      <w:r w:rsidR="00BA54FC" w:rsidRPr="0097615B">
        <w:rPr>
          <w:b/>
          <w:bCs/>
          <w:i/>
          <w:iCs/>
          <w:sz w:val="48"/>
          <w:szCs w:val="48"/>
          <w:lang w:val="en-SG"/>
        </w:rPr>
        <w:t xml:space="preserve">n </w:t>
      </w:r>
      <w:r w:rsidR="00241F2D">
        <w:rPr>
          <w:b/>
          <w:bCs/>
          <w:i/>
          <w:iCs/>
          <w:sz w:val="48"/>
          <w:szCs w:val="48"/>
          <w:lang w:val="en-SG"/>
        </w:rPr>
        <w:t>V</w:t>
      </w:r>
      <w:r w:rsidR="00BA54FC" w:rsidRPr="0097615B">
        <w:rPr>
          <w:b/>
          <w:bCs/>
          <w:i/>
          <w:iCs/>
          <w:sz w:val="48"/>
          <w:szCs w:val="48"/>
          <w:lang w:val="en-SG"/>
        </w:rPr>
        <w:t>itro</w:t>
      </w:r>
      <w:r w:rsidR="00BA54FC" w:rsidRPr="0097615B">
        <w:rPr>
          <w:b/>
          <w:bCs/>
          <w:sz w:val="48"/>
          <w:szCs w:val="48"/>
          <w:lang w:val="en-SG"/>
        </w:rPr>
        <w:t xml:space="preserve"> </w:t>
      </w:r>
      <w:r w:rsidR="00241F2D">
        <w:rPr>
          <w:b/>
          <w:bCs/>
          <w:sz w:val="48"/>
          <w:szCs w:val="48"/>
          <w:lang w:val="en-SG"/>
        </w:rPr>
        <w:t>Module</w:t>
      </w:r>
    </w:p>
    <w:p w:rsidR="004066E2" w:rsidRPr="0097615B" w:rsidRDefault="004066E2" w:rsidP="004066E2">
      <w:pPr>
        <w:spacing w:after="0" w:line="240" w:lineRule="auto"/>
        <w:jc w:val="center"/>
        <w:rPr>
          <w:b/>
          <w:bCs/>
          <w:sz w:val="28"/>
          <w:szCs w:val="40"/>
          <w:lang w:val="en-SG"/>
        </w:rPr>
      </w:pPr>
    </w:p>
    <w:p w:rsidR="00244402" w:rsidRPr="0097615B" w:rsidRDefault="00665194" w:rsidP="004066E2">
      <w:pPr>
        <w:spacing w:after="0" w:line="240" w:lineRule="auto"/>
        <w:jc w:val="center"/>
        <w:rPr>
          <w:b/>
          <w:bCs/>
          <w:sz w:val="28"/>
          <w:szCs w:val="40"/>
          <w:lang w:val="en-SG"/>
        </w:rPr>
      </w:pPr>
      <w:r w:rsidRPr="0097615B">
        <w:rPr>
          <w:b/>
          <w:bCs/>
          <w:sz w:val="28"/>
          <w:szCs w:val="40"/>
          <w:lang w:val="en-SG"/>
        </w:rPr>
        <w:t>Didier Ménard, Benoit Witkowski,</w:t>
      </w:r>
    </w:p>
    <w:p w:rsidR="00665194" w:rsidRPr="00F2351A" w:rsidRDefault="00665194" w:rsidP="004066E2">
      <w:pPr>
        <w:spacing w:after="0" w:line="240" w:lineRule="auto"/>
        <w:jc w:val="center"/>
        <w:rPr>
          <w:b/>
          <w:bCs/>
          <w:sz w:val="28"/>
          <w:szCs w:val="40"/>
          <w:lang w:val="en-GB"/>
        </w:rPr>
      </w:pPr>
      <w:r w:rsidRPr="0097615B">
        <w:rPr>
          <w:b/>
          <w:bCs/>
          <w:sz w:val="28"/>
          <w:szCs w:val="40"/>
          <w:lang w:val="en-US"/>
        </w:rPr>
        <w:t xml:space="preserve"> </w:t>
      </w:r>
      <w:r w:rsidRPr="00F2351A">
        <w:rPr>
          <w:b/>
          <w:bCs/>
          <w:sz w:val="28"/>
          <w:szCs w:val="40"/>
          <w:lang w:val="en-GB"/>
        </w:rPr>
        <w:t>Anaïs Domergue</w:t>
      </w:r>
    </w:p>
    <w:p w:rsidR="00D7557D" w:rsidRPr="00F2351A" w:rsidRDefault="00D7557D" w:rsidP="004066E2">
      <w:pPr>
        <w:spacing w:after="0" w:line="240" w:lineRule="auto"/>
        <w:jc w:val="center"/>
        <w:rPr>
          <w:sz w:val="48"/>
          <w:szCs w:val="48"/>
          <w:lang w:val="en-GB"/>
        </w:rPr>
      </w:pPr>
    </w:p>
    <w:p w:rsidR="00BA54FC" w:rsidRPr="00F2351A" w:rsidRDefault="00BA54FC" w:rsidP="004066E2">
      <w:pPr>
        <w:spacing w:after="0" w:line="240" w:lineRule="auto"/>
        <w:jc w:val="center"/>
        <w:rPr>
          <w:sz w:val="48"/>
          <w:szCs w:val="48"/>
          <w:lang w:val="en-GB"/>
        </w:rPr>
      </w:pPr>
    </w:p>
    <w:p w:rsidR="004066E2" w:rsidRPr="00F2351A" w:rsidRDefault="004066E2" w:rsidP="004066E2">
      <w:pPr>
        <w:spacing w:after="0" w:line="240" w:lineRule="auto"/>
        <w:jc w:val="center"/>
        <w:rPr>
          <w:sz w:val="48"/>
          <w:szCs w:val="48"/>
          <w:lang w:val="en-GB"/>
        </w:rPr>
      </w:pPr>
    </w:p>
    <w:p w:rsidR="004066E2" w:rsidRPr="00F2351A" w:rsidRDefault="004066E2" w:rsidP="004066E2">
      <w:pPr>
        <w:spacing w:after="0" w:line="240" w:lineRule="auto"/>
        <w:jc w:val="center"/>
        <w:rPr>
          <w:sz w:val="48"/>
          <w:szCs w:val="48"/>
          <w:lang w:val="en-GB"/>
        </w:rPr>
      </w:pPr>
    </w:p>
    <w:p w:rsidR="00665194" w:rsidRPr="00F36751" w:rsidRDefault="00BA54FC" w:rsidP="004066E2">
      <w:pPr>
        <w:spacing w:after="0" w:line="240" w:lineRule="auto"/>
        <w:jc w:val="center"/>
        <w:rPr>
          <w:b/>
          <w:bCs/>
          <w:sz w:val="28"/>
          <w:lang w:val="en-US"/>
        </w:rPr>
      </w:pPr>
      <w:r w:rsidRPr="00F36751">
        <w:rPr>
          <w:b/>
          <w:bCs/>
          <w:sz w:val="28"/>
          <w:lang w:val="en-US"/>
        </w:rPr>
        <w:t xml:space="preserve">Institut Pasteur </w:t>
      </w:r>
      <w:r w:rsidR="00CA199D" w:rsidRPr="00F36751">
        <w:rPr>
          <w:b/>
          <w:bCs/>
          <w:sz w:val="28"/>
          <w:lang w:val="en-US"/>
        </w:rPr>
        <w:t xml:space="preserve">in </w:t>
      </w:r>
      <w:r w:rsidR="00CA199D" w:rsidRPr="00241F2D">
        <w:rPr>
          <w:b/>
          <w:bCs/>
          <w:sz w:val="28"/>
          <w:lang w:val="en-GB"/>
        </w:rPr>
        <w:t>Cambodia</w:t>
      </w:r>
    </w:p>
    <w:p w:rsidR="00BA54FC" w:rsidRPr="0097615B" w:rsidRDefault="00D7557D" w:rsidP="004066E2">
      <w:pPr>
        <w:spacing w:after="0" w:line="240" w:lineRule="auto"/>
        <w:jc w:val="center"/>
        <w:rPr>
          <w:b/>
          <w:bCs/>
          <w:sz w:val="28"/>
          <w:lang w:val="en-SG"/>
        </w:rPr>
      </w:pPr>
      <w:r w:rsidRPr="0097615B">
        <w:rPr>
          <w:b/>
          <w:bCs/>
          <w:sz w:val="28"/>
          <w:lang w:val="en-SG"/>
        </w:rPr>
        <w:t>Phnom Penh</w:t>
      </w:r>
      <w:r w:rsidR="00BA54FC" w:rsidRPr="0097615B">
        <w:rPr>
          <w:b/>
          <w:bCs/>
          <w:sz w:val="28"/>
          <w:lang w:val="en-SG"/>
        </w:rPr>
        <w:t>, Cambodia</w:t>
      </w:r>
    </w:p>
    <w:p w:rsidR="00D7557D" w:rsidRPr="0097615B" w:rsidRDefault="00CA199D" w:rsidP="004066E2">
      <w:pPr>
        <w:spacing w:after="0" w:line="240" w:lineRule="auto"/>
        <w:jc w:val="center"/>
        <w:rPr>
          <w:b/>
          <w:bCs/>
          <w:sz w:val="28"/>
          <w:lang w:val="en-SG"/>
        </w:rPr>
      </w:pPr>
      <w:r w:rsidRPr="0097615B">
        <w:rPr>
          <w:b/>
          <w:bCs/>
          <w:sz w:val="28"/>
          <w:lang w:val="en-SG"/>
        </w:rPr>
        <w:t xml:space="preserve">29 </w:t>
      </w:r>
      <w:r w:rsidR="00337EB4" w:rsidRPr="0097615B">
        <w:rPr>
          <w:b/>
          <w:bCs/>
          <w:sz w:val="28"/>
          <w:lang w:val="en-SG"/>
        </w:rPr>
        <w:t>September</w:t>
      </w:r>
      <w:r w:rsidR="00D7557D" w:rsidRPr="0097615B">
        <w:rPr>
          <w:b/>
          <w:bCs/>
          <w:sz w:val="28"/>
          <w:lang w:val="en-SG"/>
        </w:rPr>
        <w:t xml:space="preserve"> </w:t>
      </w:r>
      <w:r w:rsidRPr="0097615B">
        <w:rPr>
          <w:b/>
          <w:bCs/>
          <w:sz w:val="28"/>
          <w:lang w:val="en-SG"/>
        </w:rPr>
        <w:t xml:space="preserve">– 3 October </w:t>
      </w:r>
      <w:r w:rsidR="00D7557D" w:rsidRPr="0097615B">
        <w:rPr>
          <w:b/>
          <w:bCs/>
          <w:sz w:val="28"/>
          <w:lang w:val="en-SG"/>
        </w:rPr>
        <w:t>2014</w:t>
      </w:r>
    </w:p>
    <w:p w:rsidR="00D7557D" w:rsidRPr="0097615B" w:rsidRDefault="0097615B" w:rsidP="004066E2">
      <w:pPr>
        <w:pBdr>
          <w:bottom w:val="single" w:sz="4" w:space="1" w:color="auto"/>
        </w:pBdr>
        <w:spacing w:after="0" w:line="240" w:lineRule="auto"/>
        <w:rPr>
          <w:b/>
          <w:bCs/>
          <w:sz w:val="28"/>
          <w:szCs w:val="24"/>
          <w:lang w:val="en-SG"/>
        </w:rPr>
      </w:pPr>
      <w:r>
        <w:rPr>
          <w:b/>
          <w:bCs/>
          <w:sz w:val="28"/>
          <w:szCs w:val="24"/>
          <w:lang w:val="en-SG"/>
        </w:rPr>
        <w:lastRenderedPageBreak/>
        <w:t>Overview</w:t>
      </w:r>
      <w:r w:rsidRPr="0097615B">
        <w:rPr>
          <w:b/>
          <w:bCs/>
          <w:sz w:val="28"/>
          <w:szCs w:val="24"/>
          <w:lang w:val="en-SG"/>
        </w:rPr>
        <w:t xml:space="preserve"> </w:t>
      </w:r>
    </w:p>
    <w:p w:rsidR="004066E2" w:rsidRPr="0097615B" w:rsidRDefault="004066E2" w:rsidP="004066E2">
      <w:pPr>
        <w:spacing w:after="0" w:line="240" w:lineRule="auto"/>
        <w:jc w:val="both"/>
        <w:rPr>
          <w:sz w:val="24"/>
          <w:szCs w:val="24"/>
          <w:lang w:val="en-SG"/>
        </w:rPr>
      </w:pPr>
    </w:p>
    <w:p w:rsidR="00337EB4" w:rsidRPr="0097615B" w:rsidRDefault="00337EB4" w:rsidP="00337EB4">
      <w:pPr>
        <w:autoSpaceDE w:val="0"/>
        <w:autoSpaceDN w:val="0"/>
        <w:adjustRightInd w:val="0"/>
        <w:rPr>
          <w:lang w:val="en-SG"/>
        </w:rPr>
      </w:pPr>
      <w:r w:rsidRPr="0097615B">
        <w:rPr>
          <w:lang w:val="en-SG"/>
        </w:rPr>
        <w:t>The Ring-stage Survival Assay (RSA) allows the laboratory assay of parasite sensitivity to delay</w:t>
      </w:r>
      <w:r w:rsidRPr="00540877">
        <w:rPr>
          <w:lang w:val="en-SG"/>
        </w:rPr>
        <w:t xml:space="preserve"> development after artemisinin treatment.  The assay has been shown to correlate with the slow clearance phenotype observed in Cambodia </w:t>
      </w:r>
      <w:r w:rsidR="0025543C" w:rsidRPr="00D64C97">
        <w:fldChar w:fldCharType="begin"/>
      </w:r>
      <w:r w:rsidRPr="0097615B">
        <w:rPr>
          <w:lang w:val="en-SG"/>
        </w:rPr>
        <w:instrText xml:space="preserve"> ADDIN EN.CITE &lt;EndNote&gt;&lt;Cite&gt;&lt;Author&gt;Witkowski&lt;/Author&gt;&lt;Year&gt;2013&lt;/Year&gt;&lt;RecNum&gt;1&lt;/RecNum&gt;&lt;record&gt;&lt;rec-number&gt;1&lt;/rec-number&gt;&lt;ref-type name="Journal Article"&gt;17&lt;/ref-type&gt;&lt;contributors&gt;&lt;authors&gt;&lt;author&gt;Witkowski, B.&lt;/author&gt;&lt;author&gt;Amaratunga, C.&lt;/author&gt;&lt;author&gt;Khim, N.&lt;/author&gt;&lt;author&gt;Sreng, S.&lt;/author&gt;&lt;author&gt;Chim, P.&lt;/author&gt;&lt;author&gt;Kim, S.&lt;/author&gt;&lt;author&gt;Lim, P.&lt;/author&gt;&lt;author&gt;Mao, S.&lt;/author&gt;&lt;author&gt;Sopha, C.&lt;/author&gt;&lt;author&gt;Sam, B.&lt;/author&gt;&lt;author&gt;Anderson, J. M.&lt;/author&gt;&lt;author&gt;Duong, S.&lt;/author&gt;&lt;author&gt;Chuor, C. M.&lt;/author&gt;&lt;author&gt;Taylor, W. R.&lt;/author&gt;&lt;author&gt;Suon, S.&lt;/author&gt;&lt;author&gt;Mercereau-Puijalon, O.&lt;/author&gt;&lt;author&gt;Fairhurst, R. M.&lt;/author&gt;&lt;author&gt;Menard, D.&lt;/author&gt;&lt;/authors&gt;&lt;/contributors&gt;&lt;auth-address&gt;Malaria Molecular Epidemiology Unit, Institut Pasteur du Cambodge, Phnom Penh, Cambodia.&lt;/auth-address&gt;&lt;titles&gt;&lt;title&gt;Novel phenotypic assays for the detection of artemisinin-resistant Plasmodium falciparum malaria in Cambodia: in-vitro and ex-vivo drug-response studies&lt;/title&gt;&lt;secondary-title&gt;Lancet Infect Dis&lt;/secondary-title&gt;&lt;/titles&gt;&lt;periodical&gt;&lt;full-title&gt;Lancet Infect Dis&lt;/full-title&gt;&lt;/periodical&gt;&lt;pages&gt;1043-9&lt;/pages&gt;&lt;volume&gt;13&lt;/volume&gt;&lt;number&gt;12&lt;/number&gt;&lt;dates&gt;&lt;year&gt;2013&lt;/year&gt;&lt;pub-dates&gt;&lt;date&gt;Dec&lt;/date&gt;&lt;/pub-dates&gt;&lt;/dates&gt;&lt;accession-num&gt;24035558&lt;/accession-num&gt;&lt;urls&gt;&lt;related-urls&gt;&lt;url&gt;http://www.ncbi.nlm.nih.gov/entrez/query.fcgi?cmd=Retrieve&amp;amp;db=PubMed&amp;amp;dopt=Citation&amp;amp;list_uids=24035558 &lt;/url&gt;&lt;/related-urls&gt;&lt;/urls&gt;&lt;/record&gt;&lt;/Cite&gt;&lt;/EndNote&gt;</w:instrText>
      </w:r>
      <w:r w:rsidR="0025543C" w:rsidRPr="00D64C97">
        <w:fldChar w:fldCharType="separate"/>
      </w:r>
      <w:r w:rsidRPr="0097615B">
        <w:rPr>
          <w:lang w:val="en-SG"/>
        </w:rPr>
        <w:t>[1]</w:t>
      </w:r>
      <w:r w:rsidR="0025543C" w:rsidRPr="00D64C97">
        <w:fldChar w:fldCharType="end"/>
      </w:r>
      <w:r w:rsidRPr="0097615B">
        <w:rPr>
          <w:lang w:val="en-SG"/>
        </w:rPr>
        <w:t>,</w:t>
      </w:r>
      <w:r w:rsidR="0025543C" w:rsidRPr="00D64C97">
        <w:fldChar w:fldCharType="begin"/>
      </w:r>
      <w:r w:rsidRPr="0097615B">
        <w:rPr>
          <w:lang w:val="en-SG"/>
        </w:rPr>
        <w:instrText xml:space="preserve"> ADDIN EN.CITE &lt;EndNote&gt;&lt;Cite&gt;&lt;Author&gt;Dondorp&lt;/Author&gt;&lt;Year&gt;2009&lt;/Year&gt;&lt;RecNum&gt;2&lt;/RecNum&gt;&lt;record&gt;&lt;rec-number&gt;2&lt;/rec-number&gt;&lt;ref-type name="Journal Article"&gt;17&lt;/ref-type&gt;&lt;contributors&gt;&lt;authors&gt;&lt;author&gt;Dondorp, A. M.&lt;/author&gt;&lt;author&gt;Nosten, F.&lt;/author&gt;&lt;author&gt;Yi, P.&lt;/author&gt;&lt;author&gt;Das, D.&lt;/author&gt;&lt;author&gt;Phyo, A. P.&lt;/author&gt;&lt;author&gt;Tarning, J.&lt;/author&gt;&lt;author&gt;Lwin, K. M.&lt;/author&gt;&lt;author&gt;Ariey, F.&lt;/author&gt;&lt;author&gt;Hanpithakpong, W.&lt;/author&gt;&lt;author&gt;Lee, S. J.&lt;/author&gt;&lt;author&gt;Ringwald, P.&lt;/author&gt;&lt;author&gt;Silamut, K.&lt;/author&gt;&lt;author&gt;Imwong, M.&lt;/author&gt;&lt;author&gt;Chotivanich, K.&lt;/author&gt;&lt;author&gt;Lim, P.&lt;/author&gt;&lt;author&gt;Herdman, T.&lt;/author&gt;&lt;author&gt;An, S. S.&lt;/author&gt;&lt;author&gt;Yeung, S.&lt;/author&gt;&lt;author&gt;Singhasivanon, P.&lt;/author&gt;&lt;author&gt;Day, N. P.&lt;/author&gt;&lt;author&gt;Lindegardh, N.&lt;/author&gt;&lt;author&gt;Socheat, D.&lt;/author&gt;&lt;author&gt;White, N. J.&lt;/author&gt;&lt;/authors&gt;&lt;/contributors&gt;&lt;auth-address&gt;Mahidol Oxford Research Unit, Faculty of Tropical Medicine, Mahidol University, Bangkok, Thailand. arjen@tropmedres.ac&lt;/auth-address&gt;&lt;titles&gt;&lt;title&gt;Artemisinin resistance in Plasmodium falciparum malaria&lt;/title&gt;&lt;secondary-title&gt;N Engl J Med&lt;/secondary-title&gt;&lt;/titles&gt;&lt;periodical&gt;&lt;full-title&gt;N Engl J Med&lt;/full-title&gt;&lt;/periodical&gt;&lt;pages&gt;455-67&lt;/pages&gt;&lt;volume&gt;361&lt;/volume&gt;&lt;number&gt;5&lt;/number&gt;&lt;keywords&gt;&lt;keyword&gt;Administration, Oral&lt;/keyword&gt;&lt;keyword&gt;Adolescent&lt;/keyword&gt;&lt;keyword&gt;Adult&lt;/keyword&gt;&lt;keyword&gt;Animals&lt;/keyword&gt;&lt;keyword&gt;Antimalarials/*administration &amp;amp; dosage/pharmacokinetics/pharmacology&lt;/keyword&gt;&lt;keyword&gt;Artemisinins/*administration &amp;amp; dosage/pharmacokinetics/pharmacology&lt;/keyword&gt;&lt;keyword&gt;*Drug Resistance/genetics&lt;/keyword&gt;&lt;keyword&gt;Drug Therapy, Combination&lt;/keyword&gt;&lt;keyword&gt;Follow-Up Studies&lt;/keyword&gt;&lt;keyword&gt;Humans&lt;/keyword&gt;&lt;keyword&gt;Hypoxanthine/pharmacokinetics&lt;/keyword&gt;&lt;keyword&gt;Inhibitory Concentration 50&lt;/keyword&gt;&lt;keyword&gt;Malaria, Falciparum/*drug therapy/parasitology&lt;/keyword&gt;&lt;keyword&gt;Mefloquine/administration &amp;amp; dosage&lt;/keyword&gt;&lt;keyword&gt;Multidrug Resistance-Associated Proteins/genetics&lt;/keyword&gt;&lt;keyword&gt;Plasmodium falciparum/*drug effects/genetics/isolation &amp;amp; purification&lt;/keyword&gt;&lt;keyword&gt;Polymorphism, Genetic&lt;/keyword&gt;&lt;keyword&gt;Recurrence&lt;/keyword&gt;&lt;keyword&gt;Young Adult&lt;/keyword&gt;&lt;/keywords&gt;&lt;dates&gt;&lt;year&gt;2009&lt;/year&gt;&lt;pub-dates&gt;&lt;date&gt;Jul 30&lt;/date&gt;&lt;/pub-dates&gt;&lt;/dates&gt;&lt;accession-num&gt;19641202&lt;/accession-num&gt;&lt;urls&gt;&lt;related-urls&gt;&lt;url&gt;http://www.ncbi.nlm.nih.gov/entrez/query.fcgi?cmd=Retrieve&amp;amp;db=PubMed&amp;amp;dopt=Citation&amp;amp;list_uids=19641202 &lt;/url&gt;&lt;/related-urls&gt;&lt;/urls&gt;&lt;/record&gt;&lt;/Cite&gt;&lt;/EndNote&gt;</w:instrText>
      </w:r>
      <w:r w:rsidR="0025543C" w:rsidRPr="00D64C97">
        <w:fldChar w:fldCharType="separate"/>
      </w:r>
      <w:r w:rsidRPr="0097615B">
        <w:rPr>
          <w:lang w:val="en-SG"/>
        </w:rPr>
        <w:t>[2]</w:t>
      </w:r>
      <w:r w:rsidR="0025543C" w:rsidRPr="00D64C97">
        <w:fldChar w:fldCharType="end"/>
      </w:r>
      <w:r w:rsidRPr="0097615B">
        <w:rPr>
          <w:lang w:val="en-SG"/>
        </w:rPr>
        <w:t xml:space="preserve"> . </w:t>
      </w:r>
      <w:r w:rsidR="00C212AB" w:rsidRPr="0097615B">
        <w:rPr>
          <w:lang w:val="en-SG"/>
        </w:rPr>
        <w:t xml:space="preserve">A </w:t>
      </w:r>
      <w:hyperlink r:id="rId9" w:history="1">
        <w:r w:rsidRPr="0097615B">
          <w:rPr>
            <w:rStyle w:val="Hyperlink"/>
            <w:lang w:val="en-SG"/>
          </w:rPr>
          <w:t xml:space="preserve">detailed </w:t>
        </w:r>
        <w:r w:rsidR="00C826AA">
          <w:rPr>
            <w:rStyle w:val="Hyperlink"/>
            <w:lang w:val="en-SG"/>
          </w:rPr>
          <w:t xml:space="preserve">RSA </w:t>
        </w:r>
        <w:r w:rsidRPr="0097615B">
          <w:rPr>
            <w:rStyle w:val="Hyperlink"/>
            <w:lang w:val="en-SG"/>
          </w:rPr>
          <w:t>procedure</w:t>
        </w:r>
      </w:hyperlink>
      <w:r w:rsidRPr="0097615B">
        <w:rPr>
          <w:lang w:val="en-SG"/>
        </w:rPr>
        <w:t xml:space="preserve"> has been developed by </w:t>
      </w:r>
      <w:r w:rsidRPr="0097615B">
        <w:rPr>
          <w:rFonts w:cs="Calibri"/>
          <w:lang w:val="en-US"/>
        </w:rPr>
        <w:t xml:space="preserve">Benoit Witkowski </w:t>
      </w:r>
      <w:r w:rsidR="00C826AA">
        <w:rPr>
          <w:rFonts w:cs="Calibri"/>
          <w:lang w:val="en-US"/>
        </w:rPr>
        <w:t>and</w:t>
      </w:r>
      <w:r w:rsidRPr="00C826AA">
        <w:rPr>
          <w:rFonts w:cs="Calibri"/>
          <w:lang w:val="en-US"/>
        </w:rPr>
        <w:t xml:space="preserve"> Didier Ménard at </w:t>
      </w:r>
      <w:r w:rsidRPr="00C826AA">
        <w:rPr>
          <w:lang w:val="en-SG"/>
        </w:rPr>
        <w:t xml:space="preserve">the Institut Pasteur </w:t>
      </w:r>
      <w:r w:rsidR="00CA199D" w:rsidRPr="00C826AA">
        <w:rPr>
          <w:lang w:val="en-SG"/>
        </w:rPr>
        <w:t>in Cambodia</w:t>
      </w:r>
      <w:r w:rsidRPr="00C826AA">
        <w:rPr>
          <w:lang w:val="en-SG"/>
        </w:rPr>
        <w:t xml:space="preserve"> and further improved in collaboration with Chanaki</w:t>
      </w:r>
      <w:r w:rsidRPr="00540877">
        <w:rPr>
          <w:rFonts w:cs="Calibri"/>
          <w:lang w:val="en-US"/>
        </w:rPr>
        <w:t xml:space="preserve"> Amaratunga </w:t>
      </w:r>
      <w:r w:rsidR="00C212AB" w:rsidRPr="004B1DB2">
        <w:rPr>
          <w:rFonts w:cs="Calibri"/>
          <w:lang w:val="en-US"/>
        </w:rPr>
        <w:t>and</w:t>
      </w:r>
      <w:r w:rsidRPr="00241F2D">
        <w:rPr>
          <w:rFonts w:cs="Calibri"/>
          <w:lang w:val="en-US"/>
        </w:rPr>
        <w:t xml:space="preserve"> Rick M. Fairhurst, Laboratory of Malaria and Vector </w:t>
      </w:r>
      <w:r w:rsidRPr="0097615B">
        <w:rPr>
          <w:rFonts w:cs="Calibri"/>
          <w:lang w:val="en-US"/>
        </w:rPr>
        <w:t>Research,</w:t>
      </w:r>
      <w:r w:rsidRPr="0097615B">
        <w:rPr>
          <w:lang w:val="en-SG"/>
        </w:rPr>
        <w:t xml:space="preserve"> NIAID, NIH (</w:t>
      </w:r>
      <w:r w:rsidR="00F36751">
        <w:rPr>
          <w:lang w:val="en-SG"/>
        </w:rPr>
        <w:t>URL</w:t>
      </w:r>
      <w:r w:rsidRPr="0097615B">
        <w:rPr>
          <w:lang w:val="en-SG"/>
        </w:rPr>
        <w:t>).  In order to enlarge the community of malaria researchers who can utili</w:t>
      </w:r>
      <w:r w:rsidR="00C212AB" w:rsidRPr="0097615B">
        <w:rPr>
          <w:lang w:val="en-SG"/>
        </w:rPr>
        <w:t>s</w:t>
      </w:r>
      <w:r w:rsidRPr="0097615B">
        <w:rPr>
          <w:lang w:val="en-SG"/>
        </w:rPr>
        <w:t xml:space="preserve">e this new assay, </w:t>
      </w:r>
      <w:r w:rsidR="00C212AB" w:rsidRPr="0097615B">
        <w:rPr>
          <w:lang w:val="en-SG"/>
        </w:rPr>
        <w:t xml:space="preserve">the </w:t>
      </w:r>
      <w:r w:rsidRPr="0097615B">
        <w:rPr>
          <w:lang w:val="en-SG"/>
        </w:rPr>
        <w:t xml:space="preserve">WWARN </w:t>
      </w:r>
      <w:r w:rsidR="00C212AB" w:rsidRPr="0097615B">
        <w:rPr>
          <w:lang w:val="en-SG"/>
        </w:rPr>
        <w:t xml:space="preserve">network </w:t>
      </w:r>
      <w:r w:rsidRPr="0097615B">
        <w:rPr>
          <w:lang w:val="en-SG"/>
        </w:rPr>
        <w:t xml:space="preserve">will sponsor </w:t>
      </w:r>
      <w:r w:rsidR="00C212AB" w:rsidRPr="0097615B">
        <w:rPr>
          <w:lang w:val="en-SG"/>
        </w:rPr>
        <w:t xml:space="preserve">a </w:t>
      </w:r>
      <w:r w:rsidRPr="0097615B">
        <w:rPr>
          <w:b/>
          <w:bCs/>
          <w:lang w:val="en-SG"/>
        </w:rPr>
        <w:t>5 day</w:t>
      </w:r>
      <w:r w:rsidR="00C212AB" w:rsidRPr="0097615B">
        <w:rPr>
          <w:b/>
          <w:bCs/>
          <w:lang w:val="en-SG"/>
        </w:rPr>
        <w:t xml:space="preserve"> </w:t>
      </w:r>
      <w:r w:rsidR="00F2351A" w:rsidRPr="0097615B">
        <w:rPr>
          <w:b/>
          <w:bCs/>
          <w:lang w:val="en-SG"/>
        </w:rPr>
        <w:t xml:space="preserve">practical </w:t>
      </w:r>
      <w:r w:rsidR="00F2351A" w:rsidRPr="0097615B">
        <w:rPr>
          <w:lang w:val="en-SG"/>
        </w:rPr>
        <w:t>RSA</w:t>
      </w:r>
      <w:r w:rsidRPr="0097615B">
        <w:rPr>
          <w:lang w:val="en-SG"/>
        </w:rPr>
        <w:t xml:space="preserve"> workshop in Phnom Penh</w:t>
      </w:r>
      <w:r w:rsidR="00C212AB" w:rsidRPr="0097615B">
        <w:rPr>
          <w:lang w:val="en-SG"/>
        </w:rPr>
        <w:t>, Cambodia</w:t>
      </w:r>
      <w:r w:rsidRPr="0097615B">
        <w:rPr>
          <w:lang w:val="en-SG"/>
        </w:rPr>
        <w:t xml:space="preserve"> from </w:t>
      </w:r>
      <w:r w:rsidR="00C212AB" w:rsidRPr="0097615B">
        <w:rPr>
          <w:lang w:val="en-SG"/>
        </w:rPr>
        <w:t>29 September to 3 October</w:t>
      </w:r>
      <w:r w:rsidRPr="0097615B">
        <w:rPr>
          <w:lang w:val="en-SG"/>
        </w:rPr>
        <w:t xml:space="preserve">. </w:t>
      </w:r>
    </w:p>
    <w:p w:rsidR="00337EB4" w:rsidRPr="00241F2D" w:rsidRDefault="00337EB4" w:rsidP="00337EB4">
      <w:pPr>
        <w:autoSpaceDE w:val="0"/>
        <w:autoSpaceDN w:val="0"/>
        <w:adjustRightInd w:val="0"/>
        <w:rPr>
          <w:lang w:val="en-SG"/>
        </w:rPr>
      </w:pPr>
      <w:r w:rsidRPr="0097615B">
        <w:rPr>
          <w:lang w:val="en-SG"/>
        </w:rPr>
        <w:t xml:space="preserve">The workshop is intended to train researchers from malaria endemic regions who have </w:t>
      </w:r>
      <w:r w:rsidR="00C212AB" w:rsidRPr="0097615B">
        <w:rPr>
          <w:lang w:val="en-SG"/>
        </w:rPr>
        <w:t xml:space="preserve">proven </w:t>
      </w:r>
      <w:r w:rsidRPr="0097615B">
        <w:rPr>
          <w:lang w:val="en-SG"/>
        </w:rPr>
        <w:t xml:space="preserve">expertise in malaria culture and the standard </w:t>
      </w:r>
      <w:r w:rsidRPr="00F36751">
        <w:rPr>
          <w:i/>
          <w:lang w:val="en-SG"/>
        </w:rPr>
        <w:t>in vitro</w:t>
      </w:r>
      <w:r w:rsidRPr="0097615B">
        <w:rPr>
          <w:lang w:val="en-SG"/>
        </w:rPr>
        <w:t xml:space="preserve"> assay of drug susceptibility (see below for </w:t>
      </w:r>
      <w:r w:rsidR="00C212AB" w:rsidRPr="004B1DB2">
        <w:rPr>
          <w:lang w:val="en-SG"/>
        </w:rPr>
        <w:t xml:space="preserve">detailed </w:t>
      </w:r>
      <w:r w:rsidRPr="00241F2D">
        <w:rPr>
          <w:lang w:val="en-SG"/>
        </w:rPr>
        <w:t xml:space="preserve">requirements).  All costs of the workshop activities will be supported by WWARN, </w:t>
      </w:r>
      <w:r w:rsidR="00241F2D">
        <w:rPr>
          <w:lang w:val="en-SG"/>
        </w:rPr>
        <w:t>however,</w:t>
      </w:r>
      <w:r w:rsidR="00241F2D" w:rsidRPr="00241F2D">
        <w:rPr>
          <w:lang w:val="en-SG"/>
        </w:rPr>
        <w:t xml:space="preserve"> </w:t>
      </w:r>
      <w:r w:rsidRPr="00241F2D">
        <w:rPr>
          <w:lang w:val="en-SG"/>
        </w:rPr>
        <w:t xml:space="preserve">participants </w:t>
      </w:r>
      <w:r w:rsidRPr="00241F2D">
        <w:rPr>
          <w:b/>
          <w:bCs/>
          <w:lang w:val="en-SG"/>
        </w:rPr>
        <w:t xml:space="preserve">must </w:t>
      </w:r>
      <w:r w:rsidR="00C212AB" w:rsidRPr="00241F2D">
        <w:rPr>
          <w:b/>
          <w:bCs/>
          <w:lang w:val="en-SG"/>
        </w:rPr>
        <w:t xml:space="preserve">pay for </w:t>
      </w:r>
      <w:r w:rsidRPr="00241F2D">
        <w:rPr>
          <w:b/>
          <w:bCs/>
          <w:lang w:val="en-SG"/>
        </w:rPr>
        <w:t>the costs</w:t>
      </w:r>
      <w:r w:rsidRPr="00241F2D">
        <w:rPr>
          <w:lang w:val="en-SG"/>
        </w:rPr>
        <w:t xml:space="preserve"> of </w:t>
      </w:r>
      <w:r w:rsidR="00C212AB" w:rsidRPr="00241F2D">
        <w:rPr>
          <w:lang w:val="en-SG"/>
        </w:rPr>
        <w:t xml:space="preserve">their own </w:t>
      </w:r>
      <w:r w:rsidRPr="00241F2D">
        <w:rPr>
          <w:lang w:val="en-SG"/>
        </w:rPr>
        <w:t>round trip travel to Phnom Penh</w:t>
      </w:r>
      <w:r w:rsidR="00F2351A">
        <w:rPr>
          <w:lang w:val="en-SG"/>
        </w:rPr>
        <w:t xml:space="preserve"> and</w:t>
      </w:r>
      <w:r w:rsidR="00C212AB" w:rsidRPr="00241F2D">
        <w:rPr>
          <w:lang w:val="en-SG"/>
        </w:rPr>
        <w:t xml:space="preserve"> </w:t>
      </w:r>
      <w:r w:rsidRPr="00241F2D">
        <w:rPr>
          <w:lang w:val="en-SG"/>
        </w:rPr>
        <w:t xml:space="preserve">their </w:t>
      </w:r>
      <w:r w:rsidRPr="00F830DF">
        <w:rPr>
          <w:lang w:val="en-SG"/>
        </w:rPr>
        <w:t xml:space="preserve">accommodation and maintenance </w:t>
      </w:r>
      <w:r w:rsidR="0097615B" w:rsidRPr="00F830DF">
        <w:rPr>
          <w:lang w:val="en-SG"/>
        </w:rPr>
        <w:t xml:space="preserve">costs </w:t>
      </w:r>
      <w:r w:rsidRPr="00540877">
        <w:rPr>
          <w:lang w:val="en-SG"/>
        </w:rPr>
        <w:t xml:space="preserve">during the workshop. </w:t>
      </w:r>
      <w:r w:rsidRPr="004B1DB2">
        <w:rPr>
          <w:rFonts w:cs="Calibri"/>
          <w:lang w:val="en-US"/>
        </w:rPr>
        <w:t xml:space="preserve"> </w:t>
      </w:r>
      <w:r w:rsidR="0097615B" w:rsidRPr="00241F2D">
        <w:rPr>
          <w:rFonts w:cs="Calibri"/>
          <w:lang w:val="en-US"/>
        </w:rPr>
        <w:t xml:space="preserve">It is estimated that </w:t>
      </w:r>
      <w:r w:rsidRPr="00241F2D">
        <w:rPr>
          <w:rFonts w:cs="Calibri"/>
          <w:lang w:val="en-US"/>
        </w:rPr>
        <w:t xml:space="preserve">visa, accommodation and maintenance will </w:t>
      </w:r>
      <w:r w:rsidR="0097615B" w:rsidRPr="00241F2D">
        <w:rPr>
          <w:rFonts w:cs="Calibri"/>
          <w:lang w:val="en-US"/>
        </w:rPr>
        <w:t xml:space="preserve">cost each participant </w:t>
      </w:r>
      <w:r w:rsidRPr="00241F2D">
        <w:rPr>
          <w:rFonts w:cs="Calibri"/>
          <w:b/>
          <w:bCs/>
          <w:lang w:val="en-US"/>
        </w:rPr>
        <w:t>700 USD</w:t>
      </w:r>
      <w:r w:rsidR="00241F2D">
        <w:rPr>
          <w:rFonts w:cs="Calibri"/>
          <w:b/>
          <w:bCs/>
          <w:lang w:val="en-US"/>
        </w:rPr>
        <w:t>,</w:t>
      </w:r>
      <w:r w:rsidR="0097615B" w:rsidRPr="00241F2D">
        <w:rPr>
          <w:rFonts w:cs="Calibri"/>
          <w:b/>
          <w:bCs/>
          <w:lang w:val="en-US"/>
        </w:rPr>
        <w:t xml:space="preserve"> plus your travel costs</w:t>
      </w:r>
      <w:r w:rsidR="00F2351A">
        <w:rPr>
          <w:rFonts w:cs="Calibri"/>
          <w:b/>
          <w:bCs/>
          <w:lang w:val="en-US"/>
        </w:rPr>
        <w:t>.</w:t>
      </w:r>
      <w:r w:rsidRPr="00241F2D">
        <w:rPr>
          <w:rFonts w:cs="Calibri"/>
          <w:lang w:val="en-US"/>
        </w:rPr>
        <w:t xml:space="preserve"> </w:t>
      </w:r>
    </w:p>
    <w:p w:rsidR="0097615B" w:rsidRPr="0097615B" w:rsidRDefault="00337EB4" w:rsidP="00337E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val="en-SG"/>
        </w:rPr>
      </w:pPr>
      <w:r w:rsidRPr="0097615B">
        <w:rPr>
          <w:lang w:val="en-SG"/>
        </w:rPr>
        <w:t xml:space="preserve">Informal inquiries are encouraged and should be directed to </w:t>
      </w:r>
      <w:r w:rsidR="00914F42">
        <w:rPr>
          <w:lang w:val="en-SG"/>
        </w:rPr>
        <w:t xml:space="preserve">WWARN’s Head of </w:t>
      </w:r>
      <w:r w:rsidR="00914F42" w:rsidRPr="00914F42">
        <w:rPr>
          <w:i/>
          <w:lang w:val="en-SG"/>
        </w:rPr>
        <w:t>In Vitro</w:t>
      </w:r>
      <w:r w:rsidR="00241F2D">
        <w:rPr>
          <w:i/>
          <w:lang w:val="en-SG"/>
        </w:rPr>
        <w:t xml:space="preserve"> </w:t>
      </w:r>
      <w:r w:rsidR="00241F2D">
        <w:rPr>
          <w:lang w:val="en-SG"/>
        </w:rPr>
        <w:t>Module,</w:t>
      </w:r>
      <w:r w:rsidR="00914F42">
        <w:rPr>
          <w:lang w:val="en-SG"/>
        </w:rPr>
        <w:t xml:space="preserve"> </w:t>
      </w:r>
      <w:r w:rsidRPr="0097615B">
        <w:rPr>
          <w:lang w:val="en-SG"/>
        </w:rPr>
        <w:t xml:space="preserve">Didier Menard </w:t>
      </w:r>
      <w:r w:rsidR="00241F2D">
        <w:rPr>
          <w:lang w:val="en-SG"/>
        </w:rPr>
        <w:t>,</w:t>
      </w:r>
      <w:r w:rsidRPr="0097615B">
        <w:rPr>
          <w:lang w:val="en-SG"/>
        </w:rPr>
        <w:t xml:space="preserve">and </w:t>
      </w:r>
      <w:r w:rsidR="00914F42" w:rsidRPr="00914F42">
        <w:rPr>
          <w:i/>
          <w:lang w:val="en-SG"/>
        </w:rPr>
        <w:t>In Vitro</w:t>
      </w:r>
      <w:r w:rsidR="00914F42">
        <w:rPr>
          <w:lang w:val="en-SG"/>
        </w:rPr>
        <w:t xml:space="preserve"> Coordinator </w:t>
      </w:r>
      <w:r w:rsidRPr="0097615B">
        <w:rPr>
          <w:lang w:val="en-SG"/>
        </w:rPr>
        <w:t xml:space="preserve">Benoit Witkowski </w:t>
      </w:r>
    </w:p>
    <w:p w:rsidR="0097615B" w:rsidRPr="00540877" w:rsidRDefault="0097615B" w:rsidP="0097615B">
      <w:pPr>
        <w:autoSpaceDE w:val="0"/>
        <w:autoSpaceDN w:val="0"/>
        <w:adjustRightInd w:val="0"/>
        <w:spacing w:after="0" w:line="240" w:lineRule="auto"/>
        <w:ind w:left="360"/>
        <w:rPr>
          <w:lang w:val="en-SG"/>
        </w:rPr>
      </w:pPr>
    </w:p>
    <w:p w:rsidR="00337EB4" w:rsidRPr="00241F2D" w:rsidRDefault="0097615B" w:rsidP="00337E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lang w:val="en-SG"/>
        </w:rPr>
      </w:pPr>
      <w:r w:rsidRPr="00241F2D">
        <w:rPr>
          <w:lang w:val="en-SG"/>
        </w:rPr>
        <w:t xml:space="preserve">Senior sponsors, departmental officials or Laboratory Heads supporting applicants to </w:t>
      </w:r>
      <w:r w:rsidR="00241F2D">
        <w:rPr>
          <w:lang w:val="en-SG"/>
        </w:rPr>
        <w:t>submit an application</w:t>
      </w:r>
      <w:r w:rsidRPr="00241F2D">
        <w:rPr>
          <w:lang w:val="en-SG"/>
        </w:rPr>
        <w:t xml:space="preserve"> </w:t>
      </w:r>
      <w:r w:rsidR="00337EB4" w:rsidRPr="00241F2D">
        <w:rPr>
          <w:lang w:val="en-SG"/>
        </w:rPr>
        <w:t xml:space="preserve">should send the following information to Didier Menard and Benoit Witkowski before 15 </w:t>
      </w:r>
      <w:r w:rsidRPr="00241F2D">
        <w:rPr>
          <w:lang w:val="en-SG"/>
        </w:rPr>
        <w:t>A</w:t>
      </w:r>
      <w:r w:rsidR="00337EB4" w:rsidRPr="00241F2D">
        <w:rPr>
          <w:lang w:val="en-SG"/>
        </w:rPr>
        <w:t>ugust.</w:t>
      </w:r>
    </w:p>
    <w:p w:rsidR="00337EB4" w:rsidRPr="0097615B" w:rsidRDefault="00337EB4" w:rsidP="0097615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cs="Calibri"/>
          <w:lang w:val="en-US"/>
        </w:rPr>
      </w:pPr>
      <w:r w:rsidRPr="0097615B">
        <w:rPr>
          <w:rFonts w:cs="Calibri"/>
          <w:lang w:val="en-US"/>
        </w:rPr>
        <w:t xml:space="preserve">Evidence that the laboratory has the equipment needed and demonstrated success in drug susceptibility assays and basic </w:t>
      </w:r>
      <w:r w:rsidRPr="0097615B">
        <w:rPr>
          <w:rFonts w:cs="Calibri"/>
          <w:i/>
          <w:iCs/>
          <w:lang w:val="en-US"/>
        </w:rPr>
        <w:t>in vitro</w:t>
      </w:r>
      <w:r w:rsidRPr="0097615B">
        <w:rPr>
          <w:rFonts w:cs="Calibri"/>
          <w:lang w:val="en-US"/>
        </w:rPr>
        <w:t xml:space="preserve"> culture of field isolates of </w:t>
      </w:r>
      <w:r w:rsidRPr="0097615B">
        <w:rPr>
          <w:rFonts w:cs="Calibri"/>
          <w:i/>
          <w:iCs/>
          <w:lang w:val="en-US"/>
        </w:rPr>
        <w:t>P. falciparum</w:t>
      </w:r>
    </w:p>
    <w:p w:rsidR="00337EB4" w:rsidRPr="0097615B" w:rsidRDefault="0097615B" w:rsidP="0097615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cs="Calibri"/>
          <w:lang w:val="en-US"/>
        </w:rPr>
      </w:pPr>
      <w:r w:rsidRPr="00540877">
        <w:rPr>
          <w:rFonts w:cs="Calibri"/>
          <w:lang w:val="en-US"/>
        </w:rPr>
        <w:t xml:space="preserve">Details of proven </w:t>
      </w:r>
      <w:r w:rsidRPr="004B1DB2">
        <w:rPr>
          <w:rFonts w:cs="Calibri"/>
          <w:lang w:val="en-US"/>
        </w:rPr>
        <w:t xml:space="preserve">experience </w:t>
      </w:r>
      <w:r w:rsidRPr="00241F2D">
        <w:rPr>
          <w:rFonts w:cs="Calibri"/>
          <w:lang w:val="en-US"/>
        </w:rPr>
        <w:t xml:space="preserve">that </w:t>
      </w:r>
      <w:r w:rsidR="00337EB4" w:rsidRPr="00241F2D">
        <w:rPr>
          <w:rFonts w:cs="Calibri"/>
          <w:lang w:val="en-US"/>
        </w:rPr>
        <w:t>the applicant himself</w:t>
      </w:r>
      <w:r w:rsidRPr="00241F2D">
        <w:rPr>
          <w:rFonts w:cs="Calibri"/>
          <w:lang w:val="en-US"/>
        </w:rPr>
        <w:t xml:space="preserve"> </w:t>
      </w:r>
      <w:r w:rsidR="00337EB4" w:rsidRPr="00241F2D">
        <w:rPr>
          <w:rFonts w:cs="Calibri"/>
          <w:lang w:val="en-US"/>
        </w:rPr>
        <w:t>/</w:t>
      </w:r>
      <w:r w:rsidRPr="00241F2D">
        <w:rPr>
          <w:rFonts w:cs="Calibri"/>
          <w:lang w:val="en-US"/>
        </w:rPr>
        <w:t xml:space="preserve"> </w:t>
      </w:r>
      <w:r w:rsidR="00337EB4" w:rsidRPr="00241F2D">
        <w:rPr>
          <w:rFonts w:cs="Calibri"/>
          <w:lang w:val="en-US"/>
        </w:rPr>
        <w:t xml:space="preserve">herself is experienced </w:t>
      </w:r>
      <w:r>
        <w:rPr>
          <w:rFonts w:cs="Calibri"/>
          <w:lang w:val="en-US"/>
        </w:rPr>
        <w:t>with</w:t>
      </w:r>
      <w:r w:rsidRPr="0097615B">
        <w:rPr>
          <w:rFonts w:cs="Calibri"/>
          <w:lang w:val="en-US"/>
        </w:rPr>
        <w:t xml:space="preserve"> </w:t>
      </w:r>
      <w:r w:rsidR="00337EB4" w:rsidRPr="0097615B">
        <w:rPr>
          <w:rFonts w:cs="Calibri"/>
          <w:lang w:val="en-US"/>
        </w:rPr>
        <w:t>these assays</w:t>
      </w:r>
    </w:p>
    <w:p w:rsidR="00337EB4" w:rsidRPr="00241F2D" w:rsidRDefault="0097615B" w:rsidP="0097615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cs="Calibri"/>
          <w:lang w:val="en-US"/>
        </w:rPr>
      </w:pPr>
      <w:r w:rsidRPr="00540877">
        <w:rPr>
          <w:rFonts w:cs="Calibri"/>
          <w:lang w:val="en-US"/>
        </w:rPr>
        <w:t xml:space="preserve">A </w:t>
      </w:r>
      <w:r w:rsidRPr="004B1DB2">
        <w:rPr>
          <w:rFonts w:cs="Calibri"/>
          <w:lang w:val="en-US"/>
        </w:rPr>
        <w:t>p</w:t>
      </w:r>
      <w:r w:rsidR="00337EB4" w:rsidRPr="00241F2D">
        <w:rPr>
          <w:rFonts w:cs="Calibri"/>
          <w:lang w:val="en-US"/>
        </w:rPr>
        <w:t xml:space="preserve">lan of how the laboratory intends to employ the RSA in its </w:t>
      </w:r>
      <w:r w:rsidRPr="00241F2D">
        <w:rPr>
          <w:rFonts w:cs="Calibri"/>
          <w:lang w:val="en-US"/>
        </w:rPr>
        <w:t xml:space="preserve">own </w:t>
      </w:r>
      <w:r w:rsidR="00337EB4" w:rsidRPr="00241F2D">
        <w:rPr>
          <w:rFonts w:cs="Calibri"/>
          <w:lang w:val="en-US"/>
        </w:rPr>
        <w:t>research activities.</w:t>
      </w:r>
    </w:p>
    <w:p w:rsidR="00337EB4" w:rsidRPr="0097615B" w:rsidRDefault="0097615B" w:rsidP="0097615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cs="Calibri"/>
          <w:lang w:val="en-US"/>
        </w:rPr>
      </w:pPr>
      <w:r w:rsidRPr="0097615B">
        <w:rPr>
          <w:rFonts w:cs="Calibri"/>
          <w:lang w:val="en-US"/>
        </w:rPr>
        <w:t>Confirmed s</w:t>
      </w:r>
      <w:r w:rsidR="00337EB4" w:rsidRPr="0097615B">
        <w:rPr>
          <w:rFonts w:cs="Calibri"/>
          <w:lang w:val="en-US"/>
        </w:rPr>
        <w:t>upport that the applicant will have the resources to attend, if selected.</w:t>
      </w:r>
    </w:p>
    <w:p w:rsidR="00F2351A" w:rsidRDefault="00F2351A" w:rsidP="00241F2D">
      <w:pPr>
        <w:rPr>
          <w:rFonts w:cs="Calibri"/>
          <w:lang w:val="en-GB"/>
        </w:rPr>
      </w:pPr>
    </w:p>
    <w:p w:rsidR="00241F2D" w:rsidRPr="00F2351A" w:rsidRDefault="00F2351A" w:rsidP="00241F2D">
      <w:pPr>
        <w:rPr>
          <w:rFonts w:cs="Calibri"/>
          <w:lang w:val="en-GB"/>
        </w:rPr>
      </w:pPr>
      <w:r>
        <w:rPr>
          <w:rFonts w:cs="Calibri"/>
          <w:lang w:val="en-GB"/>
        </w:rPr>
        <w:t>For further information, please c</w:t>
      </w:r>
      <w:r w:rsidR="00241F2D" w:rsidRPr="00241F2D">
        <w:rPr>
          <w:rFonts w:cs="Calibri"/>
          <w:lang w:val="en-GB"/>
        </w:rPr>
        <w:t>ontact Didier Menard</w:t>
      </w:r>
      <w:r w:rsidR="0073560A">
        <w:rPr>
          <w:rFonts w:cs="Calibri"/>
          <w:lang w:val="en-GB"/>
        </w:rPr>
        <w:t xml:space="preserve"> (</w:t>
      </w:r>
      <w:r w:rsidR="0073560A" w:rsidRPr="0073560A">
        <w:rPr>
          <w:rFonts w:cs="Calibri"/>
          <w:lang w:val="en-GB"/>
        </w:rPr>
        <w:t>dmenard@pasteur-kh.org</w:t>
      </w:r>
      <w:r w:rsidR="0073560A">
        <w:rPr>
          <w:rFonts w:cs="Calibri"/>
          <w:lang w:val="en-GB"/>
        </w:rPr>
        <w:t xml:space="preserve">) and </w:t>
      </w:r>
      <w:r w:rsidR="0073560A">
        <w:rPr>
          <w:rStyle w:val="Hyperlink"/>
          <w:color w:val="auto"/>
          <w:u w:val="none"/>
          <w:lang w:val="en-SG"/>
        </w:rPr>
        <w:t>Benoit Witkowski via</w:t>
      </w:r>
      <w:r w:rsidR="0073560A" w:rsidRPr="0073560A">
        <w:rPr>
          <w:rStyle w:val="Hyperlink"/>
          <w:color w:val="auto"/>
          <w:u w:val="none"/>
          <w:lang w:val="en-SG"/>
        </w:rPr>
        <w:t xml:space="preserve"> email</w:t>
      </w:r>
      <w:r w:rsidR="0073560A" w:rsidRPr="0073560A">
        <w:rPr>
          <w:rStyle w:val="Hyperlink"/>
          <w:color w:val="auto"/>
          <w:lang w:val="en-SG"/>
        </w:rPr>
        <w:t xml:space="preserve"> </w:t>
      </w:r>
      <w:r w:rsidRPr="00F2351A">
        <w:rPr>
          <w:rStyle w:val="Hyperlink"/>
          <w:color w:val="auto"/>
          <w:u w:val="none"/>
          <w:lang w:val="en-SG"/>
        </w:rPr>
        <w:t>(</w:t>
      </w:r>
      <w:r w:rsidR="00241F2D" w:rsidRPr="00F2351A">
        <w:rPr>
          <w:lang w:val="en-SG"/>
        </w:rPr>
        <w:t>bwitkowski@pasteur-kh.org</w:t>
      </w:r>
      <w:r w:rsidR="0073560A" w:rsidRPr="00F2351A">
        <w:rPr>
          <w:lang w:val="en-SG"/>
        </w:rPr>
        <w:t>)</w:t>
      </w:r>
    </w:p>
    <w:p w:rsidR="00D7557D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  <w:r>
        <w:rPr>
          <w:b/>
          <w:bCs/>
          <w:sz w:val="24"/>
          <w:szCs w:val="24"/>
          <w:lang w:val="en-SG"/>
        </w:rPr>
        <w:t>The outline of the full w</w:t>
      </w:r>
      <w:r w:rsidR="00665194" w:rsidRPr="00F36751">
        <w:rPr>
          <w:b/>
          <w:bCs/>
          <w:sz w:val="24"/>
          <w:szCs w:val="24"/>
          <w:lang w:val="en-SG"/>
        </w:rPr>
        <w:t xml:space="preserve">orkshop </w:t>
      </w:r>
      <w:r>
        <w:rPr>
          <w:b/>
          <w:bCs/>
          <w:sz w:val="24"/>
          <w:szCs w:val="24"/>
          <w:lang w:val="en-SG"/>
        </w:rPr>
        <w:t>a</w:t>
      </w:r>
      <w:r w:rsidR="002B058E" w:rsidRPr="00F36751">
        <w:rPr>
          <w:b/>
          <w:bCs/>
          <w:sz w:val="24"/>
          <w:szCs w:val="24"/>
          <w:lang w:val="en-SG"/>
        </w:rPr>
        <w:t>genda</w:t>
      </w:r>
      <w:r>
        <w:rPr>
          <w:b/>
          <w:bCs/>
          <w:sz w:val="24"/>
          <w:szCs w:val="24"/>
          <w:lang w:val="en-SG"/>
        </w:rPr>
        <w:t xml:space="preserve"> is on page 3.</w:t>
      </w: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F2351A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  <w:r>
        <w:rPr>
          <w:b/>
          <w:bCs/>
          <w:sz w:val="24"/>
          <w:szCs w:val="24"/>
          <w:lang w:val="en-SG"/>
        </w:rPr>
        <w:lastRenderedPageBreak/>
        <w:t>Summary of the agenda</w:t>
      </w:r>
    </w:p>
    <w:p w:rsidR="00F2351A" w:rsidRPr="00F36751" w:rsidRDefault="00F2351A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tbl>
      <w:tblPr>
        <w:tblStyle w:val="TableGrid"/>
        <w:tblW w:w="94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1794"/>
        <w:gridCol w:w="1567"/>
        <w:gridCol w:w="1506"/>
        <w:gridCol w:w="1715"/>
        <w:gridCol w:w="1684"/>
      </w:tblGrid>
      <w:tr w:rsidR="002B058E" w:rsidRPr="0097615B" w:rsidTr="00F2351A">
        <w:trPr>
          <w:trHeight w:val="267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DF6590" w:rsidRPr="00F2351A" w:rsidRDefault="00DF6590" w:rsidP="002B058E">
            <w:pPr>
              <w:rPr>
                <w:color w:val="000000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DF6590" w:rsidRPr="0097615B" w:rsidRDefault="00DF6590" w:rsidP="002B058E">
            <w:pPr>
              <w:rPr>
                <w:b/>
                <w:bCs/>
                <w:color w:val="1F497D"/>
              </w:rPr>
            </w:pPr>
            <w:r w:rsidRPr="0097615B">
              <w:rPr>
                <w:b/>
                <w:bCs/>
                <w:color w:val="1F497D"/>
              </w:rPr>
              <w:t>M</w:t>
            </w:r>
            <w:r w:rsidR="004066E2" w:rsidRPr="0097615B">
              <w:rPr>
                <w:b/>
                <w:bCs/>
                <w:color w:val="1F497D"/>
              </w:rPr>
              <w:t>onday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DF6590" w:rsidRPr="0097615B" w:rsidRDefault="00DF6590" w:rsidP="002B058E">
            <w:pPr>
              <w:rPr>
                <w:b/>
                <w:bCs/>
                <w:color w:val="1F497D"/>
              </w:rPr>
            </w:pPr>
            <w:r w:rsidRPr="0097615B">
              <w:rPr>
                <w:b/>
                <w:bCs/>
                <w:color w:val="1F497D"/>
              </w:rPr>
              <w:t>T</w:t>
            </w:r>
            <w:r w:rsidR="004066E2" w:rsidRPr="0097615B">
              <w:rPr>
                <w:b/>
                <w:bCs/>
                <w:color w:val="1F497D"/>
              </w:rPr>
              <w:t>uesday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DF6590" w:rsidRPr="0097615B" w:rsidRDefault="00DF6590" w:rsidP="002B058E">
            <w:pPr>
              <w:rPr>
                <w:b/>
                <w:bCs/>
                <w:color w:val="1F497D"/>
              </w:rPr>
            </w:pPr>
            <w:r w:rsidRPr="0097615B">
              <w:rPr>
                <w:b/>
                <w:bCs/>
                <w:color w:val="1F497D"/>
              </w:rPr>
              <w:t>W</w:t>
            </w:r>
            <w:r w:rsidR="004066E2" w:rsidRPr="0097615B">
              <w:rPr>
                <w:b/>
                <w:bCs/>
                <w:color w:val="1F497D"/>
              </w:rPr>
              <w:t>ednesday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DF6590" w:rsidRPr="0097615B" w:rsidRDefault="00DF6590" w:rsidP="002B058E">
            <w:pPr>
              <w:rPr>
                <w:b/>
                <w:bCs/>
                <w:color w:val="1F497D"/>
              </w:rPr>
            </w:pPr>
            <w:r w:rsidRPr="0097615B">
              <w:rPr>
                <w:b/>
                <w:bCs/>
                <w:color w:val="1F497D"/>
              </w:rPr>
              <w:t>T</w:t>
            </w:r>
            <w:r w:rsidR="004066E2" w:rsidRPr="0097615B">
              <w:rPr>
                <w:b/>
                <w:bCs/>
                <w:color w:val="1F497D"/>
              </w:rPr>
              <w:t>hursday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DF6590" w:rsidRPr="0097615B" w:rsidRDefault="00DF6590" w:rsidP="002B058E">
            <w:pPr>
              <w:rPr>
                <w:b/>
                <w:bCs/>
                <w:color w:val="1F497D"/>
              </w:rPr>
            </w:pPr>
            <w:r w:rsidRPr="0097615B">
              <w:rPr>
                <w:b/>
                <w:bCs/>
                <w:color w:val="1F497D"/>
              </w:rPr>
              <w:t>F</w:t>
            </w:r>
            <w:r w:rsidR="004066E2" w:rsidRPr="0097615B">
              <w:rPr>
                <w:b/>
                <w:bCs/>
                <w:color w:val="1F497D"/>
              </w:rPr>
              <w:t>riday</w:t>
            </w:r>
          </w:p>
        </w:tc>
      </w:tr>
      <w:tr w:rsidR="002B058E" w:rsidRPr="00F2351A" w:rsidTr="00F2351A">
        <w:trPr>
          <w:trHeight w:val="1393"/>
        </w:trPr>
        <w:tc>
          <w:tcPr>
            <w:tcW w:w="1130" w:type="dxa"/>
            <w:tcBorders>
              <w:top w:val="single" w:sz="4" w:space="0" w:color="auto"/>
            </w:tcBorders>
          </w:tcPr>
          <w:p w:rsidR="00DF6590" w:rsidRPr="0097615B" w:rsidRDefault="00DF6590" w:rsidP="002B058E">
            <w:pPr>
              <w:rPr>
                <w:b/>
                <w:bCs/>
                <w:color w:val="4F81BD"/>
              </w:rPr>
            </w:pPr>
            <w:r w:rsidRPr="00DD2E20">
              <w:rPr>
                <w:b/>
                <w:bCs/>
                <w:color w:val="4F81BD"/>
                <w:lang w:val="en-GB"/>
              </w:rPr>
              <w:t>Morning</w:t>
            </w:r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2B058E" w:rsidRPr="0097615B" w:rsidRDefault="002B058E" w:rsidP="002B058E">
            <w:pPr>
              <w:rPr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>(9-11 am)</w:t>
            </w:r>
          </w:p>
          <w:p w:rsidR="002B058E" w:rsidRPr="0097615B" w:rsidRDefault="002B058E" w:rsidP="002B058E">
            <w:pPr>
              <w:rPr>
                <w:color w:val="000000"/>
                <w:lang w:val="en-SG"/>
              </w:rPr>
            </w:pPr>
          </w:p>
          <w:p w:rsidR="002B058E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b/>
                <w:bCs/>
                <w:color w:val="000000"/>
                <w:lang w:val="en-SG"/>
              </w:rPr>
              <w:t>Introduction &amp; presentation</w:t>
            </w:r>
            <w:r w:rsidRPr="0097615B">
              <w:rPr>
                <w:color w:val="000000"/>
                <w:lang w:val="en-SG"/>
              </w:rPr>
              <w:br/>
              <w:t xml:space="preserve">Objectives of </w:t>
            </w:r>
            <w:r w:rsidR="002B058E" w:rsidRPr="0097615B">
              <w:rPr>
                <w:color w:val="000000"/>
                <w:lang w:val="en-SG"/>
              </w:rPr>
              <w:t xml:space="preserve">the </w:t>
            </w:r>
            <w:r w:rsidRPr="0097615B">
              <w:rPr>
                <w:color w:val="000000"/>
                <w:lang w:val="en-SG"/>
              </w:rPr>
              <w:t xml:space="preserve">training &amp; </w:t>
            </w:r>
            <w:r w:rsidR="002B058E" w:rsidRPr="0097615B">
              <w:rPr>
                <w:color w:val="000000"/>
                <w:lang w:val="en-SG"/>
              </w:rPr>
              <w:t xml:space="preserve">Presentation of the </w:t>
            </w:r>
            <w:r w:rsidRPr="0097615B">
              <w:rPr>
                <w:color w:val="000000"/>
                <w:lang w:val="en-SG"/>
              </w:rPr>
              <w:t>Ring-stage Survival Assays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2B058E" w:rsidRPr="0097615B" w:rsidRDefault="002B058E" w:rsidP="002B058E">
            <w:pPr>
              <w:rPr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>(8-11 am)</w:t>
            </w:r>
          </w:p>
          <w:p w:rsidR="002B058E" w:rsidRPr="0097615B" w:rsidRDefault="002B058E" w:rsidP="002B058E">
            <w:pPr>
              <w:rPr>
                <w:color w:val="000000"/>
                <w:lang w:val="en-SG"/>
              </w:rPr>
            </w:pPr>
          </w:p>
          <w:p w:rsidR="002B058E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b/>
                <w:bCs/>
                <w:color w:val="000000"/>
                <w:lang w:val="en-SG"/>
              </w:rPr>
              <w:t>Workshop</w:t>
            </w:r>
            <w:r w:rsidRPr="0097615B">
              <w:rPr>
                <w:color w:val="000000"/>
                <w:lang w:val="en-SG"/>
              </w:rPr>
              <w:br/>
            </w:r>
          </w:p>
          <w:p w:rsidR="00DF6590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 xml:space="preserve">step 1 of </w:t>
            </w:r>
            <w:r w:rsidRPr="0097615B">
              <w:rPr>
                <w:i/>
                <w:iCs/>
                <w:color w:val="000000"/>
                <w:lang w:val="en-SG"/>
              </w:rPr>
              <w:t>ex vivo</w:t>
            </w:r>
            <w:r w:rsidRPr="0097615B">
              <w:rPr>
                <w:color w:val="000000"/>
                <w:lang w:val="en-SG"/>
              </w:rPr>
              <w:t xml:space="preserve"> Ring-stage Survival Assays (divided in 3 groups of 3) 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>(9-12 am)</w:t>
            </w:r>
          </w:p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</w:p>
          <w:p w:rsidR="002B058E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b/>
                <w:bCs/>
                <w:color w:val="000000"/>
                <w:lang w:val="en-SG"/>
              </w:rPr>
              <w:t>Workshop</w:t>
            </w:r>
            <w:r w:rsidRPr="0097615B">
              <w:rPr>
                <w:color w:val="000000"/>
                <w:lang w:val="en-SG"/>
              </w:rPr>
              <w:br/>
            </w:r>
          </w:p>
          <w:p w:rsidR="00DF6590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 xml:space="preserve">Training on microscopic readout of RSA 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>(9-12 am</w:t>
            </w:r>
          </w:p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</w:p>
          <w:p w:rsidR="002B058E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b/>
                <w:bCs/>
                <w:color w:val="000000"/>
                <w:lang w:val="en-SG"/>
              </w:rPr>
              <w:t>Workshop</w:t>
            </w:r>
            <w:r w:rsidRPr="0097615B">
              <w:rPr>
                <w:b/>
                <w:bCs/>
                <w:color w:val="000000"/>
                <w:lang w:val="en-SG"/>
              </w:rPr>
              <w:br/>
            </w:r>
          </w:p>
          <w:p w:rsidR="00DF6590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 xml:space="preserve">RSA </w:t>
            </w:r>
            <w:r w:rsidRPr="0097615B">
              <w:rPr>
                <w:i/>
                <w:iCs/>
                <w:color w:val="000000"/>
                <w:lang w:val="en-SG"/>
              </w:rPr>
              <w:t>in-vitro</w:t>
            </w:r>
            <w:r w:rsidRPr="0097615B">
              <w:rPr>
                <w:color w:val="000000"/>
                <w:lang w:val="en-SG"/>
              </w:rPr>
              <w:t xml:space="preserve"> demonstration</w:t>
            </w:r>
          </w:p>
          <w:p w:rsidR="008F2EB9" w:rsidRPr="0097615B" w:rsidRDefault="008F2EB9" w:rsidP="002B058E">
            <w:pPr>
              <w:rPr>
                <w:color w:val="000000"/>
                <w:lang w:val="en-SG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>(8-12am)</w:t>
            </w:r>
          </w:p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</w:p>
          <w:p w:rsidR="002B058E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b/>
                <w:bCs/>
                <w:color w:val="000000"/>
                <w:lang w:val="en-SG"/>
              </w:rPr>
              <w:t>Workshop</w:t>
            </w:r>
            <w:r w:rsidRPr="0097615B">
              <w:rPr>
                <w:color w:val="000000"/>
                <w:lang w:val="en-SG"/>
              </w:rPr>
              <w:br/>
            </w:r>
          </w:p>
          <w:p w:rsidR="00DF6590" w:rsidRPr="0097615B" w:rsidRDefault="002B058E" w:rsidP="002B058E">
            <w:pPr>
              <w:rPr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>S</w:t>
            </w:r>
            <w:r w:rsidR="00DF6590" w:rsidRPr="0097615B">
              <w:rPr>
                <w:color w:val="000000"/>
                <w:lang w:val="en-SG"/>
              </w:rPr>
              <w:t xml:space="preserve">tep 3 of </w:t>
            </w:r>
            <w:r w:rsidR="00DF6590" w:rsidRPr="0097615B">
              <w:rPr>
                <w:i/>
                <w:iCs/>
                <w:color w:val="000000"/>
                <w:lang w:val="en-SG"/>
              </w:rPr>
              <w:t>ex vivo</w:t>
            </w:r>
            <w:r w:rsidRPr="0097615B">
              <w:rPr>
                <w:color w:val="000000"/>
                <w:lang w:val="en-SG"/>
              </w:rPr>
              <w:t xml:space="preserve"> Ring-stage Survival Assays </w:t>
            </w:r>
            <w:r w:rsidR="00DF6590" w:rsidRPr="0097615B">
              <w:rPr>
                <w:color w:val="000000"/>
                <w:lang w:val="en-SG"/>
              </w:rPr>
              <w:t>Results analysis</w:t>
            </w:r>
            <w:r w:rsidRPr="0097615B">
              <w:rPr>
                <w:color w:val="000000"/>
                <w:lang w:val="en-SG"/>
              </w:rPr>
              <w:t xml:space="preserve"> &amp; interpretation</w:t>
            </w:r>
            <w:r w:rsidR="00DF6590" w:rsidRPr="0097615B">
              <w:rPr>
                <w:color w:val="000000"/>
                <w:lang w:val="en-SG"/>
              </w:rPr>
              <w:t xml:space="preserve">      </w:t>
            </w:r>
          </w:p>
        </w:tc>
      </w:tr>
      <w:tr w:rsidR="002B058E" w:rsidRPr="00F2351A" w:rsidTr="00F2351A">
        <w:trPr>
          <w:trHeight w:val="225"/>
        </w:trPr>
        <w:tc>
          <w:tcPr>
            <w:tcW w:w="1130" w:type="dxa"/>
            <w:shd w:val="clear" w:color="auto" w:fill="595959" w:themeFill="text1" w:themeFillTint="A6"/>
          </w:tcPr>
          <w:p w:rsidR="00DF6590" w:rsidRPr="0097615B" w:rsidRDefault="00DF6590" w:rsidP="002B058E">
            <w:pPr>
              <w:rPr>
                <w:b/>
                <w:bCs/>
                <w:color w:val="4F81BD"/>
                <w:lang w:val="en-US"/>
              </w:rPr>
            </w:pPr>
          </w:p>
        </w:tc>
        <w:tc>
          <w:tcPr>
            <w:tcW w:w="1802" w:type="dxa"/>
            <w:shd w:val="clear" w:color="auto" w:fill="595959" w:themeFill="text1" w:themeFillTint="A6"/>
          </w:tcPr>
          <w:p w:rsidR="00DF6590" w:rsidRPr="0097615B" w:rsidRDefault="00DF6590" w:rsidP="002B058E">
            <w:pPr>
              <w:rPr>
                <w:color w:val="000000"/>
                <w:lang w:val="en-US"/>
              </w:rPr>
            </w:pPr>
          </w:p>
        </w:tc>
        <w:tc>
          <w:tcPr>
            <w:tcW w:w="1575" w:type="dxa"/>
            <w:shd w:val="clear" w:color="auto" w:fill="595959" w:themeFill="text1" w:themeFillTint="A6"/>
          </w:tcPr>
          <w:p w:rsidR="00DF6590" w:rsidRPr="0097615B" w:rsidRDefault="00DF6590" w:rsidP="002B058E">
            <w:pPr>
              <w:rPr>
                <w:color w:val="000000"/>
                <w:lang w:val="en-US"/>
              </w:rPr>
            </w:pPr>
          </w:p>
        </w:tc>
        <w:tc>
          <w:tcPr>
            <w:tcW w:w="1510" w:type="dxa"/>
            <w:shd w:val="clear" w:color="auto" w:fill="595959" w:themeFill="text1" w:themeFillTint="A6"/>
          </w:tcPr>
          <w:p w:rsidR="00DF6590" w:rsidRPr="0097615B" w:rsidRDefault="00DF6590" w:rsidP="002B058E">
            <w:pPr>
              <w:rPr>
                <w:color w:val="000000"/>
                <w:lang w:val="en-US"/>
              </w:rPr>
            </w:pPr>
          </w:p>
        </w:tc>
        <w:tc>
          <w:tcPr>
            <w:tcW w:w="1718" w:type="dxa"/>
            <w:shd w:val="clear" w:color="auto" w:fill="595959" w:themeFill="text1" w:themeFillTint="A6"/>
          </w:tcPr>
          <w:p w:rsidR="00DF6590" w:rsidRPr="0097615B" w:rsidRDefault="00DF6590" w:rsidP="002B058E">
            <w:pPr>
              <w:rPr>
                <w:color w:val="000000"/>
                <w:lang w:val="en-US"/>
              </w:rPr>
            </w:pPr>
          </w:p>
        </w:tc>
        <w:tc>
          <w:tcPr>
            <w:tcW w:w="1688" w:type="dxa"/>
            <w:shd w:val="clear" w:color="auto" w:fill="595959" w:themeFill="text1" w:themeFillTint="A6"/>
          </w:tcPr>
          <w:p w:rsidR="00DF6590" w:rsidRPr="0097615B" w:rsidRDefault="00DF6590" w:rsidP="002B058E">
            <w:pPr>
              <w:rPr>
                <w:color w:val="000000"/>
                <w:lang w:val="en-US"/>
              </w:rPr>
            </w:pPr>
          </w:p>
        </w:tc>
      </w:tr>
      <w:tr w:rsidR="002B058E" w:rsidRPr="0097615B" w:rsidTr="00F2351A">
        <w:trPr>
          <w:trHeight w:val="1103"/>
        </w:trPr>
        <w:tc>
          <w:tcPr>
            <w:tcW w:w="1130" w:type="dxa"/>
            <w:tcBorders>
              <w:bottom w:val="single" w:sz="4" w:space="0" w:color="auto"/>
            </w:tcBorders>
          </w:tcPr>
          <w:p w:rsidR="00DF6590" w:rsidRPr="0097615B" w:rsidRDefault="00DF6590" w:rsidP="002B058E">
            <w:pPr>
              <w:rPr>
                <w:b/>
                <w:bCs/>
                <w:color w:val="4F81BD"/>
              </w:rPr>
            </w:pPr>
            <w:r w:rsidRPr="0097615B">
              <w:rPr>
                <w:b/>
                <w:bCs/>
                <w:color w:val="4F81BD"/>
              </w:rPr>
              <w:t>Afternoon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>(2-5 pm)</w:t>
            </w:r>
          </w:p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</w:p>
          <w:p w:rsidR="00244402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b/>
                <w:bCs/>
                <w:color w:val="000000"/>
                <w:lang w:val="en-SG"/>
              </w:rPr>
              <w:t>Workshop</w:t>
            </w:r>
            <w:r w:rsidRPr="0097615B">
              <w:rPr>
                <w:color w:val="000000"/>
                <w:lang w:val="en-SG"/>
              </w:rPr>
              <w:br/>
              <w:t xml:space="preserve">Methods in malaria culture </w:t>
            </w:r>
          </w:p>
          <w:p w:rsidR="00DF6590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 xml:space="preserve"> 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>(4-6pm)</w:t>
            </w:r>
          </w:p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</w:p>
          <w:p w:rsidR="00BA54FC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b/>
                <w:bCs/>
                <w:color w:val="000000"/>
                <w:lang w:val="en-SG"/>
              </w:rPr>
              <w:t>Workshop</w:t>
            </w:r>
            <w:r w:rsidRPr="0097615B">
              <w:rPr>
                <w:color w:val="000000"/>
                <w:lang w:val="en-SG"/>
              </w:rPr>
              <w:br/>
              <w:t xml:space="preserve">step 2 of </w:t>
            </w:r>
            <w:r w:rsidRPr="0097615B">
              <w:rPr>
                <w:i/>
                <w:iCs/>
                <w:color w:val="000000"/>
                <w:lang w:val="en-SG"/>
              </w:rPr>
              <w:t>ex vivo</w:t>
            </w:r>
            <w:r w:rsidRPr="0097615B">
              <w:rPr>
                <w:color w:val="000000"/>
                <w:lang w:val="en-SG"/>
              </w:rPr>
              <w:t xml:space="preserve"> Ring-stage Survival Assays</w:t>
            </w:r>
          </w:p>
          <w:p w:rsidR="00DF6590" w:rsidRPr="0097615B" w:rsidRDefault="00DF6590" w:rsidP="002B058E">
            <w:pPr>
              <w:rPr>
                <w:color w:val="000000"/>
                <w:lang w:val="en-SG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2B058E" w:rsidRPr="0097615B" w:rsidRDefault="002B058E" w:rsidP="002B058E">
            <w:pPr>
              <w:rPr>
                <w:b/>
                <w:bCs/>
                <w:lang w:val="en-SG"/>
              </w:rPr>
            </w:pPr>
            <w:r w:rsidRPr="0097615B">
              <w:rPr>
                <w:lang w:val="en-SG"/>
              </w:rPr>
              <w:t>(2-6pm)</w:t>
            </w:r>
          </w:p>
          <w:p w:rsidR="002B058E" w:rsidRPr="0097615B" w:rsidRDefault="002B058E" w:rsidP="002B058E">
            <w:pPr>
              <w:rPr>
                <w:b/>
                <w:bCs/>
                <w:lang w:val="en-SG"/>
              </w:rPr>
            </w:pPr>
          </w:p>
          <w:p w:rsidR="00DF6590" w:rsidRPr="0097615B" w:rsidRDefault="00DF6590" w:rsidP="002B058E">
            <w:pPr>
              <w:rPr>
                <w:lang w:val="en-SG"/>
              </w:rPr>
            </w:pPr>
            <w:r w:rsidRPr="0097615B">
              <w:rPr>
                <w:b/>
                <w:bCs/>
                <w:lang w:val="en-SG"/>
              </w:rPr>
              <w:t>Workshop</w:t>
            </w:r>
            <w:r w:rsidRPr="0097615B">
              <w:rPr>
                <w:lang w:val="en-SG"/>
              </w:rPr>
              <w:br/>
              <w:t xml:space="preserve">ELISA based readout of RSA 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  <w:r w:rsidRPr="0097615B">
              <w:rPr>
                <w:color w:val="000000"/>
                <w:lang w:val="en-SG"/>
              </w:rPr>
              <w:t>(2-5pm)</w:t>
            </w:r>
          </w:p>
          <w:p w:rsidR="002B058E" w:rsidRPr="0097615B" w:rsidRDefault="002B058E" w:rsidP="002B058E">
            <w:pPr>
              <w:rPr>
                <w:b/>
                <w:bCs/>
                <w:color w:val="000000"/>
                <w:lang w:val="en-SG"/>
              </w:rPr>
            </w:pPr>
          </w:p>
          <w:p w:rsidR="008F2EB9" w:rsidRPr="0097615B" w:rsidRDefault="00DF6590" w:rsidP="002B058E">
            <w:pPr>
              <w:rPr>
                <w:color w:val="000000"/>
                <w:lang w:val="en-SG"/>
              </w:rPr>
            </w:pPr>
            <w:r w:rsidRPr="0097615B">
              <w:rPr>
                <w:b/>
                <w:bCs/>
                <w:color w:val="000000"/>
                <w:lang w:val="en-SG"/>
              </w:rPr>
              <w:t xml:space="preserve">Discussion                                 </w:t>
            </w:r>
            <w:r w:rsidRPr="0097615B">
              <w:rPr>
                <w:color w:val="000000"/>
                <w:lang w:val="en-SG"/>
              </w:rPr>
              <w:t xml:space="preserve">      </w:t>
            </w:r>
            <w:r w:rsidR="002B058E" w:rsidRPr="0097615B">
              <w:rPr>
                <w:color w:val="000000"/>
                <w:lang w:val="en-SG"/>
              </w:rPr>
              <w:t>Presentations of the s</w:t>
            </w:r>
            <w:r w:rsidRPr="0097615B">
              <w:rPr>
                <w:color w:val="000000"/>
                <w:lang w:val="en-SG"/>
              </w:rPr>
              <w:t xml:space="preserve">cientific activities of participants &amp; </w:t>
            </w:r>
            <w:r w:rsidR="002B058E" w:rsidRPr="0097615B">
              <w:rPr>
                <w:color w:val="000000"/>
                <w:lang w:val="en-SG"/>
              </w:rPr>
              <w:t>General discussion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2B058E" w:rsidRPr="0097615B" w:rsidRDefault="002B058E" w:rsidP="002B058E">
            <w:pPr>
              <w:rPr>
                <w:b/>
                <w:bCs/>
                <w:color w:val="000000"/>
              </w:rPr>
            </w:pPr>
            <w:r w:rsidRPr="0097615B">
              <w:rPr>
                <w:color w:val="000000"/>
              </w:rPr>
              <w:t>(2-5pm)</w:t>
            </w:r>
          </w:p>
          <w:p w:rsidR="002B058E" w:rsidRPr="0097615B" w:rsidRDefault="002B058E" w:rsidP="002B058E">
            <w:pPr>
              <w:rPr>
                <w:b/>
                <w:bCs/>
                <w:color w:val="000000"/>
              </w:rPr>
            </w:pPr>
          </w:p>
          <w:p w:rsidR="008F2EB9" w:rsidRPr="0097615B" w:rsidRDefault="00DF6590" w:rsidP="002B058E">
            <w:pPr>
              <w:rPr>
                <w:b/>
                <w:bCs/>
                <w:color w:val="000000"/>
              </w:rPr>
            </w:pPr>
            <w:r w:rsidRPr="0097615B">
              <w:rPr>
                <w:b/>
                <w:bCs/>
                <w:color w:val="000000"/>
              </w:rPr>
              <w:t>Open discussions</w:t>
            </w:r>
          </w:p>
          <w:p w:rsidR="008F2EB9" w:rsidRPr="0097615B" w:rsidRDefault="008F2EB9" w:rsidP="002B058E">
            <w:pPr>
              <w:rPr>
                <w:color w:val="000000"/>
              </w:rPr>
            </w:pPr>
          </w:p>
        </w:tc>
      </w:tr>
    </w:tbl>
    <w:p w:rsidR="00665194" w:rsidRDefault="00665194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2B058E" w:rsidRDefault="002B058E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  <w:r>
        <w:rPr>
          <w:b/>
          <w:bCs/>
          <w:sz w:val="24"/>
          <w:szCs w:val="24"/>
          <w:lang w:val="en-SG"/>
        </w:rPr>
        <w:t>Outcomes of the training session</w:t>
      </w:r>
    </w:p>
    <w:p w:rsidR="00DF6590" w:rsidRPr="002B058E" w:rsidRDefault="00DF6590" w:rsidP="002B058E">
      <w:pPr>
        <w:pStyle w:val="ListParagraph"/>
        <w:numPr>
          <w:ilvl w:val="0"/>
          <w:numId w:val="1"/>
        </w:numPr>
        <w:spacing w:after="0" w:line="240" w:lineRule="auto"/>
        <w:rPr>
          <w:lang w:val="en-SG"/>
        </w:rPr>
      </w:pPr>
      <w:r w:rsidRPr="002B058E">
        <w:rPr>
          <w:i/>
          <w:iCs/>
          <w:lang w:val="en-SG"/>
        </w:rPr>
        <w:t>P. falciparum</w:t>
      </w:r>
      <w:r w:rsidRPr="002B058E">
        <w:rPr>
          <w:lang w:val="en-SG"/>
        </w:rPr>
        <w:t xml:space="preserve"> </w:t>
      </w:r>
      <w:r w:rsidRPr="002B058E">
        <w:rPr>
          <w:i/>
          <w:iCs/>
          <w:lang w:val="en-SG"/>
        </w:rPr>
        <w:t>in vitro</w:t>
      </w:r>
      <w:r w:rsidRPr="002B058E">
        <w:rPr>
          <w:lang w:val="en-SG"/>
        </w:rPr>
        <w:t xml:space="preserve"> culture adaptation</w:t>
      </w:r>
      <w:r w:rsidR="002805F2" w:rsidRPr="002B058E">
        <w:rPr>
          <w:lang w:val="en-SG"/>
        </w:rPr>
        <w:t xml:space="preserve"> and sample cryopreservation</w:t>
      </w:r>
    </w:p>
    <w:p w:rsidR="00DF6590" w:rsidRPr="002B058E" w:rsidRDefault="00DF6590" w:rsidP="002B058E">
      <w:pPr>
        <w:pStyle w:val="ListParagraph"/>
        <w:numPr>
          <w:ilvl w:val="0"/>
          <w:numId w:val="1"/>
        </w:numPr>
        <w:spacing w:after="0" w:line="240" w:lineRule="auto"/>
        <w:rPr>
          <w:lang w:val="en-SG"/>
        </w:rPr>
      </w:pPr>
      <w:r w:rsidRPr="002B058E">
        <w:rPr>
          <w:i/>
          <w:iCs/>
          <w:lang w:val="en-SG"/>
        </w:rPr>
        <w:t>Ex vivo</w:t>
      </w:r>
      <w:r w:rsidRPr="002B058E">
        <w:rPr>
          <w:lang w:val="en-SG"/>
        </w:rPr>
        <w:t xml:space="preserve"> Ring</w:t>
      </w:r>
      <w:r w:rsidR="004B1DB2">
        <w:rPr>
          <w:lang w:val="en-SG"/>
        </w:rPr>
        <w:t>-</w:t>
      </w:r>
      <w:r w:rsidRPr="002B058E">
        <w:rPr>
          <w:lang w:val="en-SG"/>
        </w:rPr>
        <w:t>stage survival assay technique</w:t>
      </w:r>
    </w:p>
    <w:p w:rsidR="00DF6590" w:rsidRDefault="00DF6590" w:rsidP="002B058E">
      <w:pPr>
        <w:pStyle w:val="ListParagraph"/>
        <w:numPr>
          <w:ilvl w:val="0"/>
          <w:numId w:val="1"/>
        </w:numPr>
        <w:spacing w:after="0" w:line="240" w:lineRule="auto"/>
        <w:rPr>
          <w:lang w:val="en-SG"/>
        </w:rPr>
      </w:pPr>
      <w:r w:rsidRPr="002B058E">
        <w:rPr>
          <w:lang w:val="en-SG"/>
        </w:rPr>
        <w:t>Microscopic readout of results</w:t>
      </w:r>
      <w:r w:rsidR="002805F2" w:rsidRPr="002B058E">
        <w:rPr>
          <w:lang w:val="en-SG"/>
        </w:rPr>
        <w:t xml:space="preserve"> and a</w:t>
      </w:r>
      <w:r w:rsidRPr="002B058E">
        <w:rPr>
          <w:lang w:val="en-SG"/>
        </w:rPr>
        <w:t>lternative technique to microscopy</w:t>
      </w:r>
    </w:p>
    <w:p w:rsidR="00540877" w:rsidRPr="002B058E" w:rsidRDefault="00540877" w:rsidP="00540877">
      <w:pPr>
        <w:pStyle w:val="ListParagraph"/>
        <w:numPr>
          <w:ilvl w:val="0"/>
          <w:numId w:val="1"/>
        </w:numPr>
        <w:spacing w:after="0" w:line="240" w:lineRule="auto"/>
        <w:rPr>
          <w:lang w:val="en-SG"/>
        </w:rPr>
      </w:pPr>
      <w:r>
        <w:rPr>
          <w:lang w:val="en-SG"/>
        </w:rPr>
        <w:t>R</w:t>
      </w:r>
      <w:r w:rsidRPr="00540877">
        <w:rPr>
          <w:lang w:val="en-SG"/>
        </w:rPr>
        <w:t>einforc</w:t>
      </w:r>
      <w:r>
        <w:rPr>
          <w:lang w:val="en-SG"/>
        </w:rPr>
        <w:t>ed</w:t>
      </w:r>
      <w:r w:rsidRPr="00540877">
        <w:rPr>
          <w:lang w:val="en-SG"/>
        </w:rPr>
        <w:t xml:space="preserve"> research staff </w:t>
      </w:r>
      <w:r>
        <w:rPr>
          <w:lang w:val="en-SG"/>
        </w:rPr>
        <w:t xml:space="preserve">capacity to carry out </w:t>
      </w:r>
      <w:r w:rsidRPr="00540877">
        <w:rPr>
          <w:lang w:val="en-SG"/>
        </w:rPr>
        <w:t>malaria surveillance trials</w:t>
      </w:r>
    </w:p>
    <w:p w:rsidR="0049513D" w:rsidRDefault="0049513D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DF6590" w:rsidRPr="00DF6590" w:rsidRDefault="00DF6590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  <w:r w:rsidRPr="00DF6590">
        <w:rPr>
          <w:b/>
          <w:bCs/>
          <w:sz w:val="24"/>
          <w:szCs w:val="24"/>
          <w:lang w:val="en-SG"/>
        </w:rPr>
        <w:t>Support</w:t>
      </w:r>
      <w:r w:rsidR="0097615B">
        <w:rPr>
          <w:b/>
          <w:bCs/>
          <w:sz w:val="24"/>
          <w:szCs w:val="24"/>
          <w:lang w:val="en-SG"/>
        </w:rPr>
        <w:t xml:space="preserve"> provided</w:t>
      </w:r>
    </w:p>
    <w:p w:rsidR="00BA54FC" w:rsidRPr="002B058E" w:rsidRDefault="002B058E" w:rsidP="002B058E">
      <w:pPr>
        <w:pStyle w:val="ListParagraph"/>
        <w:numPr>
          <w:ilvl w:val="0"/>
          <w:numId w:val="2"/>
        </w:numPr>
        <w:spacing w:after="0" w:line="240" w:lineRule="auto"/>
        <w:rPr>
          <w:lang w:val="en-SG"/>
        </w:rPr>
      </w:pPr>
      <w:r>
        <w:rPr>
          <w:lang w:val="en-SG"/>
        </w:rPr>
        <w:t>Detailed protocols and n</w:t>
      </w:r>
      <w:r w:rsidRPr="002B058E">
        <w:rPr>
          <w:lang w:val="en-SG"/>
        </w:rPr>
        <w:t>umeric</w:t>
      </w:r>
      <w:r w:rsidR="00DF6590" w:rsidRPr="002B058E">
        <w:rPr>
          <w:lang w:val="en-SG"/>
        </w:rPr>
        <w:t xml:space="preserve"> data of workshop</w:t>
      </w:r>
    </w:p>
    <w:p w:rsidR="0049513D" w:rsidRDefault="0049513D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2B058E" w:rsidRDefault="002B058E" w:rsidP="004066E2">
      <w:pPr>
        <w:spacing w:after="0" w:line="240" w:lineRule="auto"/>
        <w:rPr>
          <w:b/>
          <w:bCs/>
          <w:sz w:val="24"/>
          <w:szCs w:val="24"/>
          <w:lang w:val="en-SG"/>
        </w:rPr>
      </w:pPr>
      <w:r>
        <w:rPr>
          <w:b/>
          <w:bCs/>
          <w:sz w:val="24"/>
          <w:szCs w:val="24"/>
          <w:lang w:val="en-SG"/>
        </w:rPr>
        <w:t>Training assessment</w:t>
      </w:r>
    </w:p>
    <w:p w:rsidR="002B058E" w:rsidRPr="002B058E" w:rsidRDefault="002B058E" w:rsidP="002B058E">
      <w:pPr>
        <w:pStyle w:val="ListParagraph"/>
        <w:numPr>
          <w:ilvl w:val="0"/>
          <w:numId w:val="2"/>
        </w:numPr>
        <w:spacing w:after="0" w:line="240" w:lineRule="auto"/>
        <w:rPr>
          <w:lang w:val="en-SG"/>
        </w:rPr>
      </w:pPr>
      <w:r w:rsidRPr="002B058E">
        <w:rPr>
          <w:lang w:val="en-SG"/>
        </w:rPr>
        <w:t>Evaluation of the training session by participants (questionnaires</w:t>
      </w:r>
      <w:r>
        <w:rPr>
          <w:lang w:val="en-SG"/>
        </w:rPr>
        <w:t xml:space="preserve"> filled after the training session</w:t>
      </w:r>
      <w:r w:rsidRPr="002B058E">
        <w:rPr>
          <w:lang w:val="en-SG"/>
        </w:rPr>
        <w:t>)</w:t>
      </w:r>
    </w:p>
    <w:p w:rsidR="002B058E" w:rsidRDefault="002B058E" w:rsidP="002B058E">
      <w:pPr>
        <w:pStyle w:val="ListParagraph"/>
        <w:numPr>
          <w:ilvl w:val="0"/>
          <w:numId w:val="2"/>
        </w:numPr>
        <w:spacing w:after="0" w:line="240" w:lineRule="auto"/>
        <w:rPr>
          <w:lang w:val="en-SG"/>
        </w:rPr>
      </w:pPr>
      <w:r w:rsidRPr="002B058E">
        <w:rPr>
          <w:lang w:val="en-SG"/>
        </w:rPr>
        <w:t xml:space="preserve">Evaluation of the </w:t>
      </w:r>
      <w:r>
        <w:rPr>
          <w:lang w:val="en-SG"/>
        </w:rPr>
        <w:t>new skills obtained from the training session by the trainers (questionnaires send 6 months later after the training session)</w:t>
      </w:r>
    </w:p>
    <w:p w:rsidR="0049513D" w:rsidRDefault="0049513D" w:rsidP="0049513D">
      <w:pPr>
        <w:spacing w:after="0" w:line="240" w:lineRule="auto"/>
        <w:rPr>
          <w:b/>
          <w:bCs/>
          <w:sz w:val="24"/>
          <w:szCs w:val="24"/>
          <w:lang w:val="en-SG"/>
        </w:rPr>
      </w:pPr>
    </w:p>
    <w:p w:rsidR="0049513D" w:rsidRPr="0049513D" w:rsidRDefault="0049513D" w:rsidP="00337EB4">
      <w:pPr>
        <w:pStyle w:val="ListParagraph"/>
        <w:spacing w:after="0" w:line="240" w:lineRule="auto"/>
        <w:rPr>
          <w:lang w:val="en-SG"/>
        </w:rPr>
      </w:pPr>
    </w:p>
    <w:sectPr w:rsidR="0049513D" w:rsidRPr="0049513D" w:rsidSect="00F2351A">
      <w:footerReference w:type="default" r:id="rId10"/>
      <w:pgSz w:w="11906" w:h="16838"/>
      <w:pgMar w:top="1440" w:right="1440" w:bottom="1440" w:left="144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C3" w:rsidRDefault="00CE60C3" w:rsidP="00F2351A">
      <w:pPr>
        <w:spacing w:after="0" w:line="240" w:lineRule="auto"/>
      </w:pPr>
      <w:r>
        <w:separator/>
      </w:r>
    </w:p>
  </w:endnote>
  <w:endnote w:type="continuationSeparator" w:id="0">
    <w:p w:rsidR="00CE60C3" w:rsidRDefault="00CE60C3" w:rsidP="00F2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0516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2351A" w:rsidRDefault="00F235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2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2F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351A" w:rsidRDefault="00F23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C3" w:rsidRDefault="00CE60C3" w:rsidP="00F2351A">
      <w:pPr>
        <w:spacing w:after="0" w:line="240" w:lineRule="auto"/>
      </w:pPr>
      <w:r>
        <w:separator/>
      </w:r>
    </w:p>
  </w:footnote>
  <w:footnote w:type="continuationSeparator" w:id="0">
    <w:p w:rsidR="00CE60C3" w:rsidRDefault="00CE60C3" w:rsidP="00F23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97749"/>
    <w:multiLevelType w:val="hybridMultilevel"/>
    <w:tmpl w:val="E80C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B11FE"/>
    <w:multiLevelType w:val="hybridMultilevel"/>
    <w:tmpl w:val="2E922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C4BF7"/>
    <w:multiLevelType w:val="hybridMultilevel"/>
    <w:tmpl w:val="F5403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939A6"/>
    <w:multiLevelType w:val="hybridMultilevel"/>
    <w:tmpl w:val="BB08C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7D"/>
    <w:rsid w:val="00074B77"/>
    <w:rsid w:val="00223137"/>
    <w:rsid w:val="00241F2D"/>
    <w:rsid w:val="00244402"/>
    <w:rsid w:val="0025543C"/>
    <w:rsid w:val="00270904"/>
    <w:rsid w:val="002805F2"/>
    <w:rsid w:val="002B058E"/>
    <w:rsid w:val="00337EB4"/>
    <w:rsid w:val="003632FC"/>
    <w:rsid w:val="004066E2"/>
    <w:rsid w:val="0049513D"/>
    <w:rsid w:val="004B1DB2"/>
    <w:rsid w:val="00540877"/>
    <w:rsid w:val="00665194"/>
    <w:rsid w:val="0073560A"/>
    <w:rsid w:val="0084017D"/>
    <w:rsid w:val="008F2EB9"/>
    <w:rsid w:val="00914F42"/>
    <w:rsid w:val="00961C99"/>
    <w:rsid w:val="0097615B"/>
    <w:rsid w:val="0099223B"/>
    <w:rsid w:val="00B7788B"/>
    <w:rsid w:val="00BA54FC"/>
    <w:rsid w:val="00C212AB"/>
    <w:rsid w:val="00C826AA"/>
    <w:rsid w:val="00CA199D"/>
    <w:rsid w:val="00CE60C3"/>
    <w:rsid w:val="00D64C97"/>
    <w:rsid w:val="00D7557D"/>
    <w:rsid w:val="00DD2E20"/>
    <w:rsid w:val="00DF6590"/>
    <w:rsid w:val="00E60A70"/>
    <w:rsid w:val="00EE2551"/>
    <w:rsid w:val="00F2351A"/>
    <w:rsid w:val="00F36751"/>
    <w:rsid w:val="00F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7A18B-50B0-439C-A082-7B6C9414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57D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7D"/>
    <w:rPr>
      <w:rFonts w:ascii="Tahoma" w:hAnsi="Tahoma" w:cs="Tahoma"/>
      <w:sz w:val="16"/>
      <w:szCs w:val="26"/>
    </w:rPr>
  </w:style>
  <w:style w:type="table" w:styleId="TableGrid">
    <w:name w:val="Table Grid"/>
    <w:basedOn w:val="TableNormal"/>
    <w:uiPriority w:val="59"/>
    <w:rsid w:val="00DF6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5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E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3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51A"/>
  </w:style>
  <w:style w:type="paragraph" w:styleId="Footer">
    <w:name w:val="footer"/>
    <w:basedOn w:val="Normal"/>
    <w:link w:val="FooterChar"/>
    <w:uiPriority w:val="99"/>
    <w:unhideWhenUsed/>
    <w:rsid w:val="00F23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warn.org/sites/default/files/INV10-Standard-Operating-Procedure-Ring-Stage-Survival-Assay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Benoit Witkowski</dc:creator>
  <cp:lastModifiedBy>Aileen Sheehy</cp:lastModifiedBy>
  <cp:revision>2</cp:revision>
  <dcterms:created xsi:type="dcterms:W3CDTF">2014-07-02T11:06:00Z</dcterms:created>
  <dcterms:modified xsi:type="dcterms:W3CDTF">2014-07-02T11:06:00Z</dcterms:modified>
</cp:coreProperties>
</file>