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508E" w14:textId="77777777" w:rsidR="00457F3C" w:rsidRPr="003F41FF" w:rsidRDefault="00457F3C" w:rsidP="00AF7B28">
      <w:pPr>
        <w:spacing w:before="100" w:beforeAutospacing="1" w:after="100" w:afterAutospacing="1" w:line="360" w:lineRule="auto"/>
        <w:rPr>
          <w:color w:val="0070C0"/>
          <w:sz w:val="21"/>
        </w:rPr>
      </w:pPr>
    </w:p>
    <w:p w14:paraId="34A82570" w14:textId="77777777" w:rsidR="00457F3C" w:rsidRPr="003F41FF" w:rsidRDefault="00457F3C" w:rsidP="00AF7B28">
      <w:pPr>
        <w:pStyle w:val="Default"/>
        <w:spacing w:before="100" w:beforeAutospacing="1" w:after="100" w:afterAutospacing="1" w:line="360" w:lineRule="auto"/>
        <w:rPr>
          <w:b/>
          <w:bCs/>
          <w:sz w:val="32"/>
          <w:szCs w:val="32"/>
          <w:lang w:val="en-AU"/>
        </w:rPr>
      </w:pPr>
    </w:p>
    <w:p w14:paraId="31B108F6" w14:textId="77777777" w:rsidR="00457F3C" w:rsidRPr="003F41FF" w:rsidRDefault="00457F3C" w:rsidP="00AF7B28">
      <w:pPr>
        <w:pStyle w:val="Default"/>
        <w:spacing w:before="100" w:beforeAutospacing="1" w:after="100" w:afterAutospacing="1" w:line="360" w:lineRule="auto"/>
        <w:rPr>
          <w:rFonts w:cstheme="minorBidi"/>
          <w:color w:val="auto"/>
          <w:lang w:val="en-AU"/>
        </w:rPr>
      </w:pPr>
    </w:p>
    <w:p w14:paraId="6FB1A5F2" w14:textId="77777777" w:rsidR="00457F3C" w:rsidRDefault="00457F3C" w:rsidP="00AF7B28">
      <w:pPr>
        <w:spacing w:before="100" w:beforeAutospacing="1" w:after="100" w:afterAutospacing="1" w:line="360" w:lineRule="auto"/>
        <w:rPr>
          <w:color w:val="000000" w:themeColor="text1"/>
        </w:rPr>
      </w:pPr>
    </w:p>
    <w:p w14:paraId="0D383A4A" w14:textId="77777777" w:rsidR="00457F3C" w:rsidRPr="003F41FF" w:rsidRDefault="00457F3C" w:rsidP="00AF7B28">
      <w:pPr>
        <w:spacing w:before="100" w:beforeAutospacing="1" w:after="100" w:afterAutospacing="1" w:line="360" w:lineRule="auto"/>
        <w:rPr>
          <w:color w:val="000000" w:themeColor="text1"/>
        </w:rPr>
      </w:pPr>
    </w:p>
    <w:p w14:paraId="4120E8A6" w14:textId="77777777" w:rsidR="00457F3C" w:rsidRPr="003F41FF" w:rsidRDefault="00457F3C" w:rsidP="00AF7B28">
      <w:pPr>
        <w:spacing w:before="100" w:beforeAutospacing="1" w:after="100" w:afterAutospacing="1" w:line="360" w:lineRule="auto"/>
        <w:rPr>
          <w:color w:val="000000" w:themeColor="text1"/>
        </w:rPr>
      </w:pPr>
    </w:p>
    <w:p w14:paraId="2689F1E3" w14:textId="0ACE58B7" w:rsidR="00457F3C" w:rsidRPr="003F41FF" w:rsidRDefault="00457F3C" w:rsidP="00AF7B28">
      <w:pPr>
        <w:spacing w:before="100" w:beforeAutospacing="1" w:after="100" w:afterAutospacing="1" w:line="360" w:lineRule="auto"/>
        <w:rPr>
          <w:color w:val="000000" w:themeColor="text1"/>
        </w:rPr>
      </w:pPr>
    </w:p>
    <w:p w14:paraId="34CEBC19" w14:textId="292E1EC7" w:rsidR="003C75A6" w:rsidRDefault="003C75A6" w:rsidP="003C75A6">
      <w:pPr>
        <w:pStyle w:val="CoverPageTitle"/>
        <w:spacing w:before="100" w:beforeAutospacing="1" w:after="100" w:afterAutospacing="1" w:line="276" w:lineRule="auto"/>
        <w:rPr>
          <w:rFonts w:asciiTheme="minorHAnsi" w:hAnsiTheme="minorHAnsi"/>
          <w:color w:val="000000" w:themeColor="text1"/>
          <w:lang w:val="en-AU"/>
        </w:rPr>
      </w:pPr>
      <w:r w:rsidRPr="003F41FF">
        <w:rPr>
          <w:noProof/>
          <w:color w:val="000000" w:themeColor="text1"/>
        </w:rPr>
        <mc:AlternateContent>
          <mc:Choice Requires="wps">
            <w:drawing>
              <wp:anchor distT="0" distB="0" distL="114300" distR="114300" simplePos="0" relativeHeight="251659264" behindDoc="1" locked="0" layoutInCell="1" allowOverlap="1" wp14:anchorId="435E9F36" wp14:editId="72D8A1CB">
                <wp:simplePos x="0" y="0"/>
                <wp:positionH relativeFrom="page">
                  <wp:posOffset>-73660</wp:posOffset>
                </wp:positionH>
                <wp:positionV relativeFrom="paragraph">
                  <wp:posOffset>217072</wp:posOffset>
                </wp:positionV>
                <wp:extent cx="9258300" cy="2153264"/>
                <wp:effectExtent l="0" t="0" r="0" b="635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0" cy="2153264"/>
                        </a:xfrm>
                        <a:prstGeom prst="rect">
                          <a:avLst/>
                        </a:prstGeom>
                        <a:solidFill>
                          <a:srgbClr val="519B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C856D" id="Rectangle 2" o:spid="_x0000_s1026" style="position:absolute;margin-left:-5.8pt;margin-top:17.1pt;width:729pt;height:169.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" fillcolor="#519bd0" stroked="f">
                <w10:wrap anchorx="page"/>
              </v:rect>
            </w:pict>
          </mc:Fallback>
        </mc:AlternateContent>
      </w:r>
    </w:p>
    <w:p w14:paraId="54B0CAA6" w14:textId="107A0998" w:rsidR="00457F3C" w:rsidRPr="003F41FF" w:rsidRDefault="00457F3C" w:rsidP="003C75A6">
      <w:pPr>
        <w:pStyle w:val="CoverPageTitle"/>
        <w:spacing w:before="100" w:beforeAutospacing="1" w:after="100" w:afterAutospacing="1" w:line="276" w:lineRule="auto"/>
        <w:rPr>
          <w:rFonts w:asciiTheme="minorHAnsi" w:hAnsiTheme="minorHAnsi"/>
          <w:color w:val="000000" w:themeColor="text1"/>
          <w:lang w:val="en-AU"/>
        </w:rPr>
      </w:pPr>
      <w:r w:rsidRPr="003F41FF">
        <w:rPr>
          <w:rFonts w:asciiTheme="minorHAnsi" w:hAnsiTheme="minorHAnsi"/>
          <w:color w:val="000000" w:themeColor="text1"/>
          <w:lang w:val="en-AU"/>
        </w:rPr>
        <w:t xml:space="preserve">Statistical Analysis Plan </w:t>
      </w:r>
    </w:p>
    <w:p w14:paraId="1D5B3253" w14:textId="06C4CE5D" w:rsidR="00457F3C" w:rsidRPr="003F41FF" w:rsidRDefault="00457F3C" w:rsidP="003C75A6">
      <w:pPr>
        <w:pStyle w:val="CoverPageTitle"/>
        <w:spacing w:before="100" w:beforeAutospacing="1" w:after="100" w:afterAutospacing="1" w:line="276" w:lineRule="auto"/>
        <w:rPr>
          <w:rFonts w:asciiTheme="minorHAnsi" w:hAnsiTheme="minorHAnsi"/>
          <w:color w:val="000000" w:themeColor="text1"/>
          <w:lang w:val="en-AU"/>
        </w:rPr>
      </w:pPr>
      <w:r w:rsidRPr="003F41FF">
        <w:rPr>
          <w:rFonts w:asciiTheme="minorHAnsi" w:hAnsiTheme="minorHAnsi"/>
          <w:color w:val="000000" w:themeColor="text1"/>
          <w:lang w:val="en-AU"/>
        </w:rPr>
        <w:t xml:space="preserve">WWARN </w:t>
      </w:r>
      <w:r w:rsidRPr="003F41FF">
        <w:rPr>
          <w:bCs/>
          <w:color w:val="000000" w:themeColor="text1"/>
          <w:szCs w:val="32"/>
          <w:lang w:val="en-AU"/>
        </w:rPr>
        <w:t xml:space="preserve">Vivax </w:t>
      </w:r>
      <w:r w:rsidR="00D50971">
        <w:rPr>
          <w:bCs/>
          <w:color w:val="000000" w:themeColor="text1"/>
          <w:szCs w:val="32"/>
          <w:lang w:val="en-AU"/>
        </w:rPr>
        <w:t>Adherence</w:t>
      </w:r>
      <w:r w:rsidRPr="003F41FF">
        <w:rPr>
          <w:bCs/>
          <w:color w:val="000000" w:themeColor="text1"/>
          <w:szCs w:val="32"/>
          <w:lang w:val="en-AU"/>
        </w:rPr>
        <w:t xml:space="preserve"> Study Group</w:t>
      </w:r>
      <w:r w:rsidRPr="003F41FF">
        <w:rPr>
          <w:rFonts w:asciiTheme="minorHAnsi" w:hAnsiTheme="minorHAnsi"/>
          <w:color w:val="000000" w:themeColor="text1"/>
          <w:lang w:val="en-AU"/>
        </w:rPr>
        <w:t>: A</w:t>
      </w:r>
      <w:r w:rsidR="001C12D7">
        <w:rPr>
          <w:rFonts w:asciiTheme="minorHAnsi" w:hAnsiTheme="minorHAnsi"/>
          <w:color w:val="000000" w:themeColor="text1"/>
          <w:lang w:val="en-AU"/>
        </w:rPr>
        <w:t>n individual patient data meta-analysis</w:t>
      </w:r>
      <w:r w:rsidRPr="003F41FF">
        <w:rPr>
          <w:rFonts w:asciiTheme="minorHAnsi" w:hAnsiTheme="minorHAnsi"/>
          <w:color w:val="000000" w:themeColor="text1"/>
          <w:lang w:val="en-AU"/>
        </w:rPr>
        <w:t xml:space="preserve"> investigating the effect of </w:t>
      </w:r>
      <w:r w:rsidR="00D50971">
        <w:rPr>
          <w:rFonts w:asciiTheme="minorHAnsi" w:hAnsiTheme="minorHAnsi"/>
          <w:color w:val="000000" w:themeColor="text1"/>
          <w:lang w:val="en-AU"/>
        </w:rPr>
        <w:t>adherence to primaquine</w:t>
      </w:r>
      <w:r w:rsidRPr="003F41FF">
        <w:rPr>
          <w:rFonts w:asciiTheme="minorHAnsi" w:hAnsiTheme="minorHAnsi"/>
          <w:color w:val="000000" w:themeColor="text1"/>
          <w:lang w:val="en-AU"/>
        </w:rPr>
        <w:t xml:space="preserve"> on</w:t>
      </w:r>
      <w:r w:rsidR="00D820B1">
        <w:rPr>
          <w:rFonts w:asciiTheme="minorHAnsi" w:hAnsiTheme="minorHAnsi"/>
          <w:color w:val="000000" w:themeColor="text1"/>
          <w:lang w:val="en-AU"/>
        </w:rPr>
        <w:t xml:space="preserve"> risk of</w:t>
      </w:r>
      <w:r w:rsidRPr="003F41FF">
        <w:rPr>
          <w:rFonts w:asciiTheme="minorHAnsi" w:hAnsiTheme="minorHAnsi"/>
          <w:color w:val="000000" w:themeColor="text1"/>
          <w:lang w:val="en-AU"/>
        </w:rPr>
        <w:t xml:space="preserve"> </w:t>
      </w:r>
      <w:r w:rsidRPr="003F41FF">
        <w:rPr>
          <w:rFonts w:asciiTheme="minorHAnsi" w:hAnsiTheme="minorHAnsi"/>
          <w:i/>
          <w:color w:val="000000" w:themeColor="text1"/>
          <w:lang w:val="en-AU"/>
        </w:rPr>
        <w:t xml:space="preserve">Plasmodium vivax </w:t>
      </w:r>
      <w:r w:rsidR="006758AE">
        <w:rPr>
          <w:rFonts w:asciiTheme="minorHAnsi" w:hAnsiTheme="minorHAnsi"/>
          <w:color w:val="000000" w:themeColor="text1"/>
          <w:lang w:val="en-AU"/>
        </w:rPr>
        <w:t>recurrence</w:t>
      </w:r>
      <w:r w:rsidRPr="003F41FF">
        <w:rPr>
          <w:rFonts w:asciiTheme="minorHAnsi" w:hAnsiTheme="minorHAnsi"/>
          <w:color w:val="000000" w:themeColor="text1"/>
          <w:lang w:val="en-AU"/>
        </w:rPr>
        <w:t xml:space="preserve"> </w:t>
      </w:r>
    </w:p>
    <w:p w14:paraId="4EA662D5" w14:textId="0AB2D28B" w:rsidR="00457F3C" w:rsidRPr="003F41FF" w:rsidRDefault="001D51F9" w:rsidP="003C75A6">
      <w:pPr>
        <w:pStyle w:val="CoverPageTitle"/>
        <w:spacing w:before="100" w:beforeAutospacing="1" w:after="100" w:afterAutospacing="1" w:line="276" w:lineRule="auto"/>
        <w:rPr>
          <w:rFonts w:asciiTheme="minorHAnsi" w:hAnsiTheme="minorHAnsi"/>
          <w:color w:val="000000" w:themeColor="text1"/>
          <w:lang w:val="en-AU"/>
        </w:rPr>
      </w:pPr>
      <w:r>
        <w:rPr>
          <w:rFonts w:asciiTheme="minorHAnsi" w:hAnsiTheme="minorHAnsi"/>
          <w:color w:val="000000" w:themeColor="text1"/>
          <w:lang w:val="en-AU"/>
        </w:rPr>
        <w:t xml:space="preserve">Version </w:t>
      </w:r>
      <w:r w:rsidR="00646458">
        <w:rPr>
          <w:rFonts w:asciiTheme="minorHAnsi" w:hAnsiTheme="minorHAnsi"/>
          <w:color w:val="000000" w:themeColor="text1"/>
          <w:lang w:val="en-AU"/>
        </w:rPr>
        <w:t>1.0</w:t>
      </w:r>
    </w:p>
    <w:p w14:paraId="602A668F" w14:textId="77777777" w:rsidR="00457F3C" w:rsidRPr="003F41FF" w:rsidRDefault="00457F3C" w:rsidP="00AF7B28">
      <w:pPr>
        <w:pStyle w:val="CoverPageWhiteText"/>
        <w:spacing w:before="100" w:beforeAutospacing="1" w:after="100" w:afterAutospacing="1" w:line="360" w:lineRule="auto"/>
        <w:rPr>
          <w:rFonts w:asciiTheme="minorHAnsi" w:hAnsiTheme="minorHAnsi"/>
          <w:color w:val="000000" w:themeColor="text1"/>
          <w:lang w:val="en-AU"/>
        </w:rPr>
      </w:pPr>
    </w:p>
    <w:p w14:paraId="55AD6C57" w14:textId="77777777" w:rsidR="00457F3C" w:rsidRPr="003F41FF" w:rsidRDefault="00457F3C" w:rsidP="00AF7B28">
      <w:pPr>
        <w:pStyle w:val="CoverPageWhiteText"/>
        <w:spacing w:before="100" w:beforeAutospacing="1" w:after="100" w:afterAutospacing="1" w:line="360" w:lineRule="auto"/>
        <w:rPr>
          <w:rFonts w:asciiTheme="minorHAnsi" w:hAnsiTheme="minorHAnsi"/>
          <w:color w:val="000000" w:themeColor="text1"/>
          <w:lang w:val="en-AU"/>
        </w:rPr>
      </w:pPr>
    </w:p>
    <w:p w14:paraId="79223120" w14:textId="77777777" w:rsidR="00457F3C" w:rsidRPr="003F41FF" w:rsidRDefault="00457F3C" w:rsidP="00AF7B28">
      <w:pPr>
        <w:pStyle w:val="SectionSubtitle"/>
        <w:spacing w:before="100" w:beforeAutospacing="1" w:after="100" w:afterAutospacing="1" w:line="360" w:lineRule="auto"/>
        <w:rPr>
          <w:rFonts w:asciiTheme="minorHAnsi" w:hAnsiTheme="minorHAnsi"/>
          <w:color w:val="000000" w:themeColor="text1"/>
          <w:lang w:val="en-AU"/>
        </w:rPr>
      </w:pPr>
    </w:p>
    <w:p w14:paraId="7BCE05BA" w14:textId="77777777" w:rsidR="00457F3C" w:rsidRPr="003F41FF" w:rsidRDefault="00457F3C" w:rsidP="00AF7B28">
      <w:pPr>
        <w:pStyle w:val="Default"/>
        <w:spacing w:before="100" w:beforeAutospacing="1" w:after="100" w:afterAutospacing="1" w:line="360" w:lineRule="auto"/>
        <w:rPr>
          <w:b/>
          <w:bCs/>
          <w:sz w:val="28"/>
          <w:szCs w:val="28"/>
          <w:lang w:val="en-AU"/>
        </w:rPr>
      </w:pPr>
    </w:p>
    <w:p w14:paraId="0FEA37C9" w14:textId="77777777" w:rsidR="00457F3C" w:rsidRPr="003F41FF" w:rsidRDefault="00457F3C" w:rsidP="00AF7B28">
      <w:pPr>
        <w:pStyle w:val="Default"/>
        <w:spacing w:before="100" w:beforeAutospacing="1" w:after="100" w:afterAutospacing="1" w:line="360" w:lineRule="auto"/>
        <w:rPr>
          <w:b/>
          <w:bCs/>
          <w:sz w:val="28"/>
          <w:szCs w:val="28"/>
          <w:lang w:val="en-AU"/>
        </w:rPr>
      </w:pPr>
    </w:p>
    <w:p w14:paraId="76909406" w14:textId="695F77E8" w:rsidR="00457F3C" w:rsidRPr="003F41FF" w:rsidRDefault="00457F3C" w:rsidP="00AF7B28">
      <w:pPr>
        <w:pStyle w:val="Default"/>
        <w:spacing w:before="100" w:beforeAutospacing="1" w:after="100" w:afterAutospacing="1" w:line="360" w:lineRule="auto"/>
        <w:rPr>
          <w:rFonts w:cstheme="minorBidi"/>
          <w:color w:val="auto"/>
          <w:lang w:val="en-AU"/>
        </w:rPr>
      </w:pPr>
      <w:proofErr w:type="spellStart"/>
      <w:r w:rsidRPr="003F41FF">
        <w:rPr>
          <w:b/>
          <w:bCs/>
          <w:sz w:val="28"/>
          <w:szCs w:val="28"/>
          <w:lang w:val="en-AU"/>
        </w:rPr>
        <w:t>WorldWide</w:t>
      </w:r>
      <w:proofErr w:type="spellEnd"/>
      <w:r w:rsidRPr="003F41FF">
        <w:rPr>
          <w:b/>
          <w:bCs/>
          <w:sz w:val="28"/>
          <w:szCs w:val="28"/>
          <w:lang w:val="en-AU"/>
        </w:rPr>
        <w:t xml:space="preserve"> Antimalarial Resistance Network (WWARN)</w:t>
      </w:r>
    </w:p>
    <w:p w14:paraId="238BA4FD" w14:textId="77777777" w:rsidR="00457F3C" w:rsidRPr="003F41FF" w:rsidRDefault="00457F3C" w:rsidP="00AF7B28">
      <w:pPr>
        <w:spacing w:before="100" w:beforeAutospacing="1" w:after="100" w:afterAutospacing="1" w:line="360" w:lineRule="auto"/>
        <w:rPr>
          <w:b/>
          <w:bCs/>
          <w:sz w:val="23"/>
          <w:szCs w:val="23"/>
        </w:rPr>
      </w:pPr>
      <w:r w:rsidRPr="003F41FF">
        <w:rPr>
          <w:b/>
          <w:bCs/>
          <w:sz w:val="23"/>
          <w:szCs w:val="23"/>
        </w:rPr>
        <w:br w:type="page"/>
      </w:r>
    </w:p>
    <w:p w14:paraId="5384CC7A" w14:textId="77777777" w:rsidR="00457F3C" w:rsidRPr="003F41FF" w:rsidRDefault="00457F3C" w:rsidP="00AF7B28">
      <w:pPr>
        <w:pStyle w:val="Default"/>
        <w:spacing w:before="100" w:beforeAutospacing="1" w:after="100" w:afterAutospacing="1" w:line="360" w:lineRule="auto"/>
        <w:rPr>
          <w:rFonts w:cstheme="minorBidi"/>
          <w:b/>
          <w:bCs/>
          <w:color w:val="auto"/>
          <w:sz w:val="23"/>
          <w:szCs w:val="23"/>
          <w:lang w:val="en-AU"/>
        </w:rPr>
      </w:pPr>
    </w:p>
    <w:p w14:paraId="28A53C96" w14:textId="77777777" w:rsidR="00457F3C" w:rsidRPr="003F41FF" w:rsidRDefault="00457F3C" w:rsidP="00AF7B28">
      <w:pPr>
        <w:pStyle w:val="Default"/>
        <w:spacing w:before="100" w:beforeAutospacing="1" w:after="100" w:afterAutospacing="1" w:line="360" w:lineRule="auto"/>
        <w:rPr>
          <w:rFonts w:cstheme="minorBidi"/>
          <w:b/>
          <w:bCs/>
          <w:color w:val="auto"/>
          <w:sz w:val="23"/>
          <w:szCs w:val="23"/>
          <w:lang w:val="en-AU"/>
        </w:rPr>
      </w:pPr>
    </w:p>
    <w:p w14:paraId="66121F48" w14:textId="77777777" w:rsidR="00457F3C" w:rsidRPr="003F41FF" w:rsidRDefault="00457F3C" w:rsidP="00AF7B28">
      <w:pPr>
        <w:pStyle w:val="Default"/>
        <w:spacing w:before="100" w:beforeAutospacing="1" w:after="100" w:afterAutospacing="1" w:line="360" w:lineRule="auto"/>
        <w:rPr>
          <w:rFonts w:cstheme="minorBidi"/>
          <w:b/>
          <w:bCs/>
          <w:color w:val="auto"/>
          <w:sz w:val="23"/>
          <w:szCs w:val="23"/>
          <w:lang w:val="en-AU"/>
        </w:rPr>
      </w:pPr>
    </w:p>
    <w:p w14:paraId="6046F05C" w14:textId="77777777" w:rsidR="00457F3C" w:rsidRPr="003F41FF" w:rsidRDefault="00457F3C" w:rsidP="00AF7B28">
      <w:pPr>
        <w:pStyle w:val="Default"/>
        <w:spacing w:before="100" w:beforeAutospacing="1" w:after="100" w:afterAutospacing="1" w:line="360" w:lineRule="auto"/>
        <w:rPr>
          <w:rFonts w:cstheme="minorBidi"/>
          <w:b/>
          <w:bCs/>
          <w:color w:val="auto"/>
          <w:sz w:val="23"/>
          <w:szCs w:val="23"/>
          <w:lang w:val="en-AU"/>
        </w:rPr>
      </w:pPr>
    </w:p>
    <w:p w14:paraId="1C7FE625" w14:textId="77777777" w:rsidR="00457F3C" w:rsidRPr="003F41FF" w:rsidRDefault="00457F3C" w:rsidP="00AF7B28">
      <w:pPr>
        <w:pStyle w:val="Default"/>
        <w:spacing w:before="100" w:beforeAutospacing="1" w:after="100" w:afterAutospacing="1" w:line="360" w:lineRule="auto"/>
        <w:rPr>
          <w:rFonts w:cstheme="minorBidi"/>
          <w:b/>
          <w:bCs/>
          <w:color w:val="auto"/>
          <w:sz w:val="23"/>
          <w:szCs w:val="23"/>
          <w:lang w:val="en-AU"/>
        </w:rPr>
      </w:pPr>
    </w:p>
    <w:p w14:paraId="71ACE26B" w14:textId="50EAE9B6" w:rsidR="00457F3C" w:rsidRPr="003F41FF" w:rsidRDefault="00457F3C" w:rsidP="00AF7B28">
      <w:pPr>
        <w:pStyle w:val="Default"/>
        <w:spacing w:before="100" w:beforeAutospacing="1" w:after="100" w:afterAutospacing="1" w:line="360" w:lineRule="auto"/>
        <w:rPr>
          <w:color w:val="auto"/>
          <w:sz w:val="23"/>
          <w:szCs w:val="23"/>
          <w:lang w:val="en-AU"/>
        </w:rPr>
      </w:pPr>
      <w:r w:rsidRPr="003F41FF">
        <w:rPr>
          <w:rFonts w:cstheme="minorBidi"/>
          <w:b/>
          <w:bCs/>
          <w:color w:val="auto"/>
          <w:sz w:val="23"/>
          <w:szCs w:val="23"/>
          <w:lang w:val="en-AU"/>
        </w:rPr>
        <w:t xml:space="preserve">Suggested citation: </w:t>
      </w:r>
      <w:r w:rsidRPr="003F41FF">
        <w:rPr>
          <w:color w:val="auto"/>
          <w:sz w:val="23"/>
          <w:szCs w:val="23"/>
          <w:lang w:val="en-AU"/>
        </w:rPr>
        <w:t xml:space="preserve">Statistical Analysis Plan, Vivax </w:t>
      </w:r>
      <w:r w:rsidR="00D50971">
        <w:rPr>
          <w:color w:val="auto"/>
          <w:sz w:val="23"/>
          <w:szCs w:val="23"/>
          <w:lang w:val="en-AU"/>
        </w:rPr>
        <w:t>Adherence</w:t>
      </w:r>
      <w:r w:rsidRPr="003F41FF">
        <w:rPr>
          <w:color w:val="auto"/>
          <w:sz w:val="23"/>
          <w:szCs w:val="23"/>
          <w:lang w:val="en-AU"/>
        </w:rPr>
        <w:t xml:space="preserve"> Study Group: </w:t>
      </w:r>
    </w:p>
    <w:p w14:paraId="10771FEE" w14:textId="0F77D0DE" w:rsidR="00457F3C" w:rsidRPr="003F41FF" w:rsidRDefault="00457F3C" w:rsidP="00AF7B28">
      <w:pPr>
        <w:pStyle w:val="Default"/>
        <w:spacing w:before="100" w:beforeAutospacing="1" w:after="100" w:afterAutospacing="1" w:line="360" w:lineRule="auto"/>
        <w:rPr>
          <w:color w:val="auto"/>
          <w:sz w:val="23"/>
          <w:szCs w:val="23"/>
          <w:lang w:val="en-AU"/>
        </w:rPr>
      </w:pPr>
      <w:r w:rsidRPr="003F41FF">
        <w:rPr>
          <w:color w:val="auto"/>
          <w:sz w:val="23"/>
          <w:szCs w:val="23"/>
          <w:lang w:val="en-AU"/>
        </w:rPr>
        <w:t xml:space="preserve">A pooled analysis investigating the effect of </w:t>
      </w:r>
      <w:r w:rsidR="00D50971">
        <w:rPr>
          <w:color w:val="auto"/>
          <w:sz w:val="23"/>
          <w:szCs w:val="23"/>
          <w:lang w:val="en-AU"/>
        </w:rPr>
        <w:t>adherence to primaquine</w:t>
      </w:r>
      <w:r w:rsidRPr="003F41FF">
        <w:rPr>
          <w:color w:val="auto"/>
          <w:sz w:val="23"/>
          <w:szCs w:val="23"/>
          <w:lang w:val="en-AU"/>
        </w:rPr>
        <w:t xml:space="preserve"> on </w:t>
      </w:r>
      <w:r w:rsidRPr="003F41FF">
        <w:rPr>
          <w:i/>
          <w:color w:val="auto"/>
          <w:sz w:val="23"/>
          <w:szCs w:val="23"/>
          <w:lang w:val="en-AU"/>
        </w:rPr>
        <w:t>Plasmodium vivax</w:t>
      </w:r>
      <w:r w:rsidRPr="003F41FF">
        <w:rPr>
          <w:color w:val="auto"/>
          <w:sz w:val="23"/>
          <w:szCs w:val="23"/>
          <w:lang w:val="en-AU"/>
        </w:rPr>
        <w:t xml:space="preserve"> </w:t>
      </w:r>
      <w:r w:rsidR="00916405">
        <w:rPr>
          <w:color w:val="auto"/>
          <w:sz w:val="23"/>
          <w:szCs w:val="23"/>
          <w:lang w:val="en-AU"/>
        </w:rPr>
        <w:t>efficacy</w:t>
      </w:r>
      <w:r w:rsidRPr="003F41FF">
        <w:rPr>
          <w:color w:val="auto"/>
          <w:sz w:val="23"/>
          <w:szCs w:val="23"/>
          <w:lang w:val="en-AU"/>
        </w:rPr>
        <w:t xml:space="preserve"> </w:t>
      </w:r>
    </w:p>
    <w:p w14:paraId="4510A715" w14:textId="77777777" w:rsidR="00457F3C" w:rsidRPr="003F41FF" w:rsidRDefault="00457F3C" w:rsidP="00AF7B28">
      <w:pPr>
        <w:pStyle w:val="Default"/>
        <w:spacing w:before="100" w:beforeAutospacing="1" w:after="100" w:afterAutospacing="1" w:line="360" w:lineRule="auto"/>
        <w:rPr>
          <w:color w:val="auto"/>
          <w:sz w:val="23"/>
          <w:szCs w:val="23"/>
          <w:lang w:val="en-AU"/>
        </w:rPr>
      </w:pPr>
    </w:p>
    <w:p w14:paraId="2AE69E42" w14:textId="77777777" w:rsidR="00457F3C" w:rsidRPr="003F41FF" w:rsidRDefault="00457F3C" w:rsidP="00AF7B28">
      <w:pPr>
        <w:pStyle w:val="Default"/>
        <w:spacing w:before="100" w:beforeAutospacing="1" w:after="100" w:afterAutospacing="1" w:line="360" w:lineRule="auto"/>
        <w:rPr>
          <w:color w:val="auto"/>
          <w:sz w:val="23"/>
          <w:szCs w:val="23"/>
          <w:lang w:val="en-AU"/>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04"/>
        <w:gridCol w:w="2552"/>
        <w:gridCol w:w="2495"/>
      </w:tblGrid>
      <w:tr w:rsidR="00457F3C" w:rsidRPr="003F41FF" w14:paraId="07D86144" w14:textId="77777777" w:rsidTr="00C91285">
        <w:trPr>
          <w:trHeight w:val="110"/>
        </w:trPr>
        <w:tc>
          <w:tcPr>
            <w:tcW w:w="2504" w:type="dxa"/>
          </w:tcPr>
          <w:p w14:paraId="6C520458" w14:textId="77777777" w:rsidR="00457F3C" w:rsidRPr="003F41FF" w:rsidRDefault="00457F3C" w:rsidP="00AF7B28">
            <w:pPr>
              <w:pStyle w:val="Default"/>
              <w:spacing w:before="100" w:beforeAutospacing="1" w:after="100" w:afterAutospacing="1" w:line="360" w:lineRule="auto"/>
              <w:rPr>
                <w:sz w:val="22"/>
                <w:szCs w:val="22"/>
                <w:lang w:val="en-AU"/>
              </w:rPr>
            </w:pPr>
            <w:r w:rsidRPr="003F41FF">
              <w:rPr>
                <w:b/>
                <w:bCs/>
                <w:color w:val="auto"/>
                <w:sz w:val="23"/>
                <w:szCs w:val="23"/>
                <w:lang w:val="en-AU"/>
              </w:rPr>
              <w:t xml:space="preserve">Version History </w:t>
            </w:r>
            <w:r w:rsidRPr="003F41FF">
              <w:rPr>
                <w:b/>
                <w:bCs/>
                <w:sz w:val="22"/>
                <w:szCs w:val="22"/>
                <w:lang w:val="en-AU"/>
              </w:rPr>
              <w:t xml:space="preserve">Version number </w:t>
            </w:r>
          </w:p>
        </w:tc>
        <w:tc>
          <w:tcPr>
            <w:tcW w:w="2552" w:type="dxa"/>
          </w:tcPr>
          <w:p w14:paraId="217D90EB" w14:textId="77777777" w:rsidR="00457F3C" w:rsidRPr="003F41FF" w:rsidRDefault="00457F3C" w:rsidP="00AF7B28">
            <w:pPr>
              <w:pStyle w:val="Default"/>
              <w:spacing w:before="100" w:beforeAutospacing="1" w:after="100" w:afterAutospacing="1" w:line="360" w:lineRule="auto"/>
              <w:rPr>
                <w:sz w:val="22"/>
                <w:szCs w:val="22"/>
                <w:lang w:val="en-AU"/>
              </w:rPr>
            </w:pPr>
            <w:r w:rsidRPr="003F41FF">
              <w:rPr>
                <w:b/>
                <w:bCs/>
                <w:sz w:val="22"/>
                <w:szCs w:val="22"/>
                <w:lang w:val="en-AU"/>
              </w:rPr>
              <w:t xml:space="preserve">Revision(s) &amp; reason for amendment </w:t>
            </w:r>
          </w:p>
        </w:tc>
        <w:tc>
          <w:tcPr>
            <w:tcW w:w="2495" w:type="dxa"/>
          </w:tcPr>
          <w:p w14:paraId="692D3F0A" w14:textId="77777777" w:rsidR="00457F3C" w:rsidRPr="003F41FF" w:rsidRDefault="00457F3C" w:rsidP="00AF7B28">
            <w:pPr>
              <w:pStyle w:val="Default"/>
              <w:spacing w:before="100" w:beforeAutospacing="1" w:after="100" w:afterAutospacing="1" w:line="360" w:lineRule="auto"/>
              <w:rPr>
                <w:sz w:val="22"/>
                <w:szCs w:val="22"/>
                <w:lang w:val="en-AU"/>
              </w:rPr>
            </w:pPr>
            <w:r w:rsidRPr="003F41FF">
              <w:rPr>
                <w:b/>
                <w:bCs/>
                <w:sz w:val="22"/>
                <w:szCs w:val="22"/>
                <w:lang w:val="en-AU"/>
              </w:rPr>
              <w:t xml:space="preserve">Release date </w:t>
            </w:r>
          </w:p>
        </w:tc>
      </w:tr>
      <w:tr w:rsidR="00457F3C" w:rsidRPr="007F0EB5" w14:paraId="624F6EA8" w14:textId="77777777" w:rsidTr="00C91285">
        <w:trPr>
          <w:trHeight w:val="211"/>
        </w:trPr>
        <w:tc>
          <w:tcPr>
            <w:tcW w:w="2504" w:type="dxa"/>
          </w:tcPr>
          <w:p w14:paraId="13182022" w14:textId="04D78FD3" w:rsidR="00457F3C" w:rsidRPr="007F0EB5" w:rsidRDefault="00457F3C" w:rsidP="00AF7B28">
            <w:pPr>
              <w:pStyle w:val="Default"/>
              <w:spacing w:before="100" w:beforeAutospacing="1" w:after="100" w:afterAutospacing="1" w:line="360" w:lineRule="auto"/>
              <w:rPr>
                <w:sz w:val="18"/>
                <w:szCs w:val="18"/>
                <w:lang w:val="en-AU"/>
              </w:rPr>
            </w:pPr>
          </w:p>
        </w:tc>
        <w:tc>
          <w:tcPr>
            <w:tcW w:w="2552" w:type="dxa"/>
          </w:tcPr>
          <w:p w14:paraId="1F957532" w14:textId="77777777" w:rsidR="00457F3C" w:rsidRPr="007F0EB5" w:rsidRDefault="00457F3C" w:rsidP="00AF7B28">
            <w:pPr>
              <w:pStyle w:val="Default"/>
              <w:spacing w:before="100" w:beforeAutospacing="1" w:after="100" w:afterAutospacing="1" w:line="360" w:lineRule="auto"/>
              <w:rPr>
                <w:sz w:val="18"/>
                <w:szCs w:val="18"/>
                <w:lang w:val="en-AU"/>
              </w:rPr>
            </w:pPr>
          </w:p>
        </w:tc>
        <w:tc>
          <w:tcPr>
            <w:tcW w:w="2495" w:type="dxa"/>
          </w:tcPr>
          <w:p w14:paraId="43BDC586" w14:textId="77777777" w:rsidR="00457F3C" w:rsidRPr="007F0EB5" w:rsidRDefault="00457F3C" w:rsidP="00AF7B28">
            <w:pPr>
              <w:pStyle w:val="Default"/>
              <w:spacing w:before="100" w:beforeAutospacing="1" w:after="100" w:afterAutospacing="1" w:line="360" w:lineRule="auto"/>
              <w:rPr>
                <w:sz w:val="18"/>
                <w:szCs w:val="18"/>
                <w:lang w:val="en-AU"/>
              </w:rPr>
            </w:pPr>
          </w:p>
        </w:tc>
      </w:tr>
    </w:tbl>
    <w:p w14:paraId="121FE130" w14:textId="540D319B" w:rsidR="00457F3C" w:rsidRPr="003F41FF" w:rsidRDefault="00457F3C" w:rsidP="00AF7B28">
      <w:pPr>
        <w:pStyle w:val="Default"/>
        <w:spacing w:before="100" w:beforeAutospacing="1" w:after="100" w:afterAutospacing="1" w:line="360" w:lineRule="auto"/>
        <w:rPr>
          <w:color w:val="auto"/>
          <w:sz w:val="23"/>
          <w:szCs w:val="23"/>
          <w:lang w:val="en-AU"/>
        </w:rPr>
      </w:pPr>
    </w:p>
    <w:p w14:paraId="6C0EA97B" w14:textId="77777777" w:rsidR="00457F3C" w:rsidRPr="003F41FF" w:rsidRDefault="00457F3C" w:rsidP="00AF7B28">
      <w:pPr>
        <w:pStyle w:val="Default"/>
        <w:spacing w:before="100" w:beforeAutospacing="1" w:after="100" w:afterAutospacing="1" w:line="360" w:lineRule="auto"/>
        <w:rPr>
          <w:color w:val="auto"/>
          <w:sz w:val="23"/>
          <w:szCs w:val="23"/>
          <w:lang w:val="en-AU"/>
        </w:rPr>
      </w:pPr>
    </w:p>
    <w:p w14:paraId="0988B29F" w14:textId="77777777" w:rsidR="00457F3C" w:rsidRPr="003F41FF" w:rsidRDefault="00457F3C" w:rsidP="00AF7B28">
      <w:pPr>
        <w:pStyle w:val="Default"/>
        <w:spacing w:before="100" w:beforeAutospacing="1" w:after="100" w:afterAutospacing="1" w:line="360" w:lineRule="auto"/>
        <w:rPr>
          <w:color w:val="auto"/>
          <w:sz w:val="23"/>
          <w:szCs w:val="23"/>
          <w:lang w:val="en-AU"/>
        </w:rPr>
      </w:pPr>
    </w:p>
    <w:p w14:paraId="5C3936A2" w14:textId="77777777" w:rsidR="00457F3C" w:rsidRPr="003F41FF" w:rsidRDefault="00457F3C" w:rsidP="00AF7B28">
      <w:pPr>
        <w:pStyle w:val="Default"/>
        <w:spacing w:before="100" w:beforeAutospacing="1" w:after="100" w:afterAutospacing="1" w:line="360" w:lineRule="auto"/>
        <w:rPr>
          <w:sz w:val="22"/>
          <w:szCs w:val="22"/>
          <w:lang w:val="en-AU"/>
        </w:rPr>
      </w:pPr>
      <w:proofErr w:type="spellStart"/>
      <w:r w:rsidRPr="003F41FF">
        <w:rPr>
          <w:sz w:val="22"/>
          <w:szCs w:val="22"/>
          <w:lang w:val="en-AU"/>
        </w:rPr>
        <w:t>WorldWide</w:t>
      </w:r>
      <w:proofErr w:type="spellEnd"/>
      <w:r w:rsidRPr="003F41FF">
        <w:rPr>
          <w:sz w:val="22"/>
          <w:szCs w:val="22"/>
          <w:lang w:val="en-AU"/>
        </w:rPr>
        <w:t xml:space="preserve"> Antimalarial Resistance Network (WWARN) </w:t>
      </w:r>
    </w:p>
    <w:p w14:paraId="19F1B986" w14:textId="77777777" w:rsidR="00457F3C" w:rsidRPr="003F41FF" w:rsidRDefault="00457F3C" w:rsidP="00AF7B28">
      <w:pPr>
        <w:pStyle w:val="Default"/>
        <w:spacing w:before="100" w:beforeAutospacing="1" w:after="100" w:afterAutospacing="1" w:line="360" w:lineRule="auto"/>
        <w:rPr>
          <w:color w:val="auto"/>
          <w:sz w:val="23"/>
          <w:szCs w:val="23"/>
          <w:lang w:val="en-AU"/>
        </w:rPr>
      </w:pPr>
      <w:r w:rsidRPr="003F41FF">
        <w:rPr>
          <w:sz w:val="22"/>
          <w:szCs w:val="22"/>
          <w:lang w:val="en-AU"/>
        </w:rPr>
        <w:t>www.wwarn.org</w:t>
      </w:r>
    </w:p>
    <w:p w14:paraId="696706E5" w14:textId="77777777" w:rsidR="00457F3C" w:rsidRPr="003F41FF" w:rsidRDefault="00457F3C" w:rsidP="00AF7B28">
      <w:pPr>
        <w:pStyle w:val="Default"/>
        <w:spacing w:before="100" w:beforeAutospacing="1" w:after="100" w:afterAutospacing="1" w:line="360" w:lineRule="auto"/>
        <w:rPr>
          <w:color w:val="auto"/>
          <w:sz w:val="23"/>
          <w:szCs w:val="23"/>
          <w:lang w:val="en-AU"/>
        </w:rPr>
      </w:pPr>
    </w:p>
    <w:p w14:paraId="30806864" w14:textId="77777777" w:rsidR="00457F3C" w:rsidRPr="003F41FF" w:rsidRDefault="00457F3C" w:rsidP="00AF7B28">
      <w:pPr>
        <w:pStyle w:val="Default"/>
        <w:spacing w:before="100" w:beforeAutospacing="1" w:after="100" w:afterAutospacing="1" w:line="360" w:lineRule="auto"/>
        <w:rPr>
          <w:color w:val="auto"/>
          <w:sz w:val="23"/>
          <w:szCs w:val="23"/>
          <w:lang w:val="en-AU"/>
        </w:rPr>
      </w:pPr>
    </w:p>
    <w:p w14:paraId="49319F11" w14:textId="77777777" w:rsidR="00457F3C" w:rsidRPr="003F41FF" w:rsidRDefault="00457F3C" w:rsidP="00AF7B28">
      <w:pPr>
        <w:pStyle w:val="Default"/>
        <w:spacing w:before="100" w:beforeAutospacing="1" w:after="100" w:afterAutospacing="1" w:line="360" w:lineRule="auto"/>
        <w:rPr>
          <w:color w:val="auto"/>
          <w:sz w:val="23"/>
          <w:szCs w:val="23"/>
          <w:lang w:val="en-AU"/>
        </w:rPr>
      </w:pPr>
    </w:p>
    <w:p w14:paraId="0FB027BF" w14:textId="77777777" w:rsidR="00457F3C" w:rsidRPr="003F41FF" w:rsidRDefault="00457F3C" w:rsidP="00AF7B28">
      <w:pPr>
        <w:pStyle w:val="Default"/>
        <w:spacing w:before="100" w:beforeAutospacing="1" w:after="100" w:afterAutospacing="1" w:line="360" w:lineRule="auto"/>
        <w:rPr>
          <w:color w:val="auto"/>
          <w:sz w:val="23"/>
          <w:szCs w:val="23"/>
          <w:lang w:val="en-AU"/>
        </w:rPr>
      </w:pPr>
    </w:p>
    <w:p w14:paraId="73F17252" w14:textId="77777777" w:rsidR="00457F3C" w:rsidRPr="003F41FF" w:rsidRDefault="00457F3C" w:rsidP="00AF7B28">
      <w:pPr>
        <w:pStyle w:val="Default"/>
        <w:spacing w:before="100" w:beforeAutospacing="1" w:after="100" w:afterAutospacing="1" w:line="360" w:lineRule="auto"/>
        <w:rPr>
          <w:color w:val="auto"/>
          <w:sz w:val="23"/>
          <w:szCs w:val="23"/>
          <w:lang w:val="en-AU"/>
        </w:rPr>
        <w:sectPr w:rsidR="00457F3C" w:rsidRPr="003F41FF">
          <w:footerReference w:type="default" r:id="rId11"/>
          <w:pgSz w:w="11899" w:h="17340"/>
          <w:pgMar w:top="1880" w:right="804" w:bottom="658" w:left="1580" w:header="720" w:footer="720" w:gutter="0"/>
          <w:cols w:space="720"/>
          <w:noEndnote/>
        </w:sectPr>
      </w:pPr>
    </w:p>
    <w:p w14:paraId="10BBACE0" w14:textId="464816D9" w:rsidR="00457F3C" w:rsidRPr="00621F61" w:rsidRDefault="00621F61" w:rsidP="00AF7B28">
      <w:pPr>
        <w:pStyle w:val="Heading1"/>
        <w:spacing w:before="100" w:beforeAutospacing="1" w:after="100" w:afterAutospacing="1" w:line="360" w:lineRule="auto"/>
        <w:rPr>
          <w:rFonts w:cstheme="majorHAnsi"/>
          <w:i/>
          <w:iCs/>
        </w:rPr>
      </w:pPr>
      <w:bookmarkStart w:id="0" w:name="_Toc457401123"/>
      <w:bookmarkStart w:id="1" w:name="_Toc457660137"/>
      <w:bookmarkStart w:id="2" w:name="_Toc32336004"/>
      <w:r>
        <w:rPr>
          <w:rFonts w:cstheme="majorHAnsi"/>
          <w:i/>
          <w:iCs/>
        </w:rPr>
        <w:lastRenderedPageBreak/>
        <w:t xml:space="preserve">Table of </w:t>
      </w:r>
      <w:r w:rsidR="00457F3C" w:rsidRPr="00621F61">
        <w:rPr>
          <w:rFonts w:cstheme="majorHAnsi"/>
          <w:i/>
          <w:iCs/>
        </w:rPr>
        <w:t>Contents</w:t>
      </w:r>
      <w:bookmarkEnd w:id="0"/>
      <w:bookmarkEnd w:id="1"/>
      <w:bookmarkEnd w:id="2"/>
    </w:p>
    <w:p w14:paraId="3045077C" w14:textId="63D5E09A" w:rsidR="007F3A07" w:rsidRDefault="00457F3C">
      <w:pPr>
        <w:pStyle w:val="TOC1"/>
        <w:rPr>
          <w:rFonts w:eastAsiaTheme="minorEastAsia" w:cstheme="minorBidi"/>
          <w:b w:val="0"/>
          <w:bCs w:val="0"/>
          <w:noProof/>
          <w:lang w:val="en-AU"/>
        </w:rPr>
      </w:pPr>
      <w:r w:rsidRPr="009003D8">
        <w:rPr>
          <w:rFonts w:asciiTheme="majorHAnsi" w:hAnsiTheme="majorHAnsi"/>
          <w:i/>
          <w:iCs/>
          <w:sz w:val="20"/>
          <w:szCs w:val="20"/>
          <w:lang w:val="en-AU"/>
        </w:rPr>
        <w:fldChar w:fldCharType="begin"/>
      </w:r>
      <w:r w:rsidRPr="009E7116">
        <w:rPr>
          <w:rFonts w:asciiTheme="majorHAnsi" w:hAnsiTheme="majorHAnsi"/>
          <w:i/>
          <w:iCs/>
          <w:sz w:val="20"/>
          <w:szCs w:val="20"/>
          <w:lang w:val="en-AU"/>
        </w:rPr>
        <w:instrText xml:space="preserve"> TOC \o "1-3" </w:instrText>
      </w:r>
      <w:r w:rsidRPr="009003D8">
        <w:rPr>
          <w:rFonts w:asciiTheme="majorHAnsi" w:hAnsiTheme="majorHAnsi"/>
          <w:i/>
          <w:iCs/>
          <w:sz w:val="20"/>
          <w:szCs w:val="20"/>
          <w:lang w:val="en-AU"/>
        </w:rPr>
        <w:fldChar w:fldCharType="separate"/>
      </w:r>
      <w:r w:rsidR="007F3A07" w:rsidRPr="0012153F">
        <w:rPr>
          <w:rFonts w:cstheme="majorHAnsi"/>
          <w:i/>
          <w:iCs/>
          <w:noProof/>
        </w:rPr>
        <w:t>Table of Contents</w:t>
      </w:r>
      <w:r w:rsidR="007F3A07">
        <w:rPr>
          <w:noProof/>
        </w:rPr>
        <w:tab/>
      </w:r>
      <w:r w:rsidR="007F3A07">
        <w:rPr>
          <w:noProof/>
        </w:rPr>
        <w:fldChar w:fldCharType="begin"/>
      </w:r>
      <w:r w:rsidR="007F3A07">
        <w:rPr>
          <w:noProof/>
        </w:rPr>
        <w:instrText xml:space="preserve"> PAGEREF _Toc32336004 \h </w:instrText>
      </w:r>
      <w:r w:rsidR="007F3A07">
        <w:rPr>
          <w:noProof/>
        </w:rPr>
      </w:r>
      <w:r w:rsidR="007F3A07">
        <w:rPr>
          <w:noProof/>
        </w:rPr>
        <w:fldChar w:fldCharType="separate"/>
      </w:r>
      <w:r w:rsidR="007F3A07">
        <w:rPr>
          <w:noProof/>
        </w:rPr>
        <w:t>4</w:t>
      </w:r>
      <w:r w:rsidR="007F3A07">
        <w:rPr>
          <w:noProof/>
        </w:rPr>
        <w:fldChar w:fldCharType="end"/>
      </w:r>
    </w:p>
    <w:p w14:paraId="633CE248" w14:textId="3F5C7EDD" w:rsidR="007F3A07" w:rsidRDefault="007F3A07">
      <w:pPr>
        <w:pStyle w:val="TOC1"/>
        <w:tabs>
          <w:tab w:val="left" w:pos="480"/>
        </w:tabs>
        <w:rPr>
          <w:rFonts w:eastAsiaTheme="minorEastAsia" w:cstheme="minorBidi"/>
          <w:b w:val="0"/>
          <w:bCs w:val="0"/>
          <w:noProof/>
          <w:lang w:val="en-AU"/>
        </w:rPr>
      </w:pPr>
      <w:r>
        <w:rPr>
          <w:noProof/>
        </w:rPr>
        <w:t>1.</w:t>
      </w:r>
      <w:r>
        <w:rPr>
          <w:rFonts w:eastAsiaTheme="minorEastAsia" w:cstheme="minorBidi"/>
          <w:b w:val="0"/>
          <w:bCs w:val="0"/>
          <w:noProof/>
          <w:lang w:val="en-AU"/>
        </w:rPr>
        <w:tab/>
      </w:r>
      <w:r>
        <w:rPr>
          <w:noProof/>
        </w:rPr>
        <w:t>Introduction and Rationale</w:t>
      </w:r>
      <w:r>
        <w:rPr>
          <w:noProof/>
        </w:rPr>
        <w:tab/>
      </w:r>
      <w:r>
        <w:rPr>
          <w:noProof/>
        </w:rPr>
        <w:fldChar w:fldCharType="begin"/>
      </w:r>
      <w:r>
        <w:rPr>
          <w:noProof/>
        </w:rPr>
        <w:instrText xml:space="preserve"> PAGEREF _Toc32336005 \h </w:instrText>
      </w:r>
      <w:r>
        <w:rPr>
          <w:noProof/>
        </w:rPr>
      </w:r>
      <w:r>
        <w:rPr>
          <w:noProof/>
        </w:rPr>
        <w:fldChar w:fldCharType="separate"/>
      </w:r>
      <w:r>
        <w:rPr>
          <w:noProof/>
        </w:rPr>
        <w:t>5</w:t>
      </w:r>
      <w:r>
        <w:rPr>
          <w:noProof/>
        </w:rPr>
        <w:fldChar w:fldCharType="end"/>
      </w:r>
    </w:p>
    <w:p w14:paraId="31C1D3E0" w14:textId="53BAB9D0" w:rsidR="007F3A07" w:rsidRDefault="007F3A07">
      <w:pPr>
        <w:pStyle w:val="TOC2"/>
        <w:tabs>
          <w:tab w:val="left" w:pos="960"/>
          <w:tab w:val="right" w:leader="dot" w:pos="9010"/>
        </w:tabs>
        <w:rPr>
          <w:rFonts w:eastAsiaTheme="minorEastAsia" w:cstheme="minorBidi"/>
          <w:b w:val="0"/>
          <w:bCs w:val="0"/>
          <w:noProof/>
          <w:sz w:val="24"/>
          <w:szCs w:val="24"/>
          <w:lang w:val="en-AU"/>
        </w:rPr>
      </w:pPr>
      <w:r w:rsidRPr="0012153F">
        <w:rPr>
          <w:rFonts w:asciiTheme="majorHAnsi" w:hAnsiTheme="majorHAnsi"/>
          <w:noProof/>
          <w:color w:val="0070C0"/>
        </w:rPr>
        <w:t>1.1.</w:t>
      </w:r>
      <w:r>
        <w:rPr>
          <w:rFonts w:eastAsiaTheme="minorEastAsia" w:cstheme="minorBidi"/>
          <w:b w:val="0"/>
          <w:bCs w:val="0"/>
          <w:noProof/>
          <w:sz w:val="24"/>
          <w:szCs w:val="24"/>
          <w:lang w:val="en-AU"/>
        </w:rPr>
        <w:tab/>
      </w:r>
      <w:r w:rsidRPr="0012153F">
        <w:rPr>
          <w:rFonts w:asciiTheme="majorHAnsi" w:hAnsiTheme="majorHAnsi"/>
          <w:noProof/>
          <w:color w:val="0070C0"/>
        </w:rPr>
        <w:t>Aim of study</w:t>
      </w:r>
      <w:r>
        <w:rPr>
          <w:noProof/>
        </w:rPr>
        <w:tab/>
      </w:r>
      <w:r>
        <w:rPr>
          <w:noProof/>
        </w:rPr>
        <w:fldChar w:fldCharType="begin"/>
      </w:r>
      <w:r>
        <w:rPr>
          <w:noProof/>
        </w:rPr>
        <w:instrText xml:space="preserve"> PAGEREF _Toc32336006 \h </w:instrText>
      </w:r>
      <w:r>
        <w:rPr>
          <w:noProof/>
        </w:rPr>
      </w:r>
      <w:r>
        <w:rPr>
          <w:noProof/>
        </w:rPr>
        <w:fldChar w:fldCharType="separate"/>
      </w:r>
      <w:r>
        <w:rPr>
          <w:noProof/>
        </w:rPr>
        <w:t>5</w:t>
      </w:r>
      <w:r>
        <w:rPr>
          <w:noProof/>
        </w:rPr>
        <w:fldChar w:fldCharType="end"/>
      </w:r>
    </w:p>
    <w:p w14:paraId="73EA0B8B" w14:textId="0347B2C3" w:rsidR="007F3A07" w:rsidRDefault="007F3A07">
      <w:pPr>
        <w:pStyle w:val="TOC2"/>
        <w:tabs>
          <w:tab w:val="left" w:pos="960"/>
          <w:tab w:val="right" w:leader="dot" w:pos="9010"/>
        </w:tabs>
        <w:rPr>
          <w:rFonts w:eastAsiaTheme="minorEastAsia" w:cstheme="minorBidi"/>
          <w:b w:val="0"/>
          <w:bCs w:val="0"/>
          <w:noProof/>
          <w:sz w:val="24"/>
          <w:szCs w:val="24"/>
          <w:lang w:val="en-AU"/>
        </w:rPr>
      </w:pPr>
      <w:r w:rsidRPr="0012153F">
        <w:rPr>
          <w:rFonts w:asciiTheme="majorHAnsi" w:hAnsiTheme="majorHAnsi"/>
          <w:noProof/>
          <w:color w:val="0070C0"/>
        </w:rPr>
        <w:t>1.2.</w:t>
      </w:r>
      <w:r>
        <w:rPr>
          <w:rFonts w:eastAsiaTheme="minorEastAsia" w:cstheme="minorBidi"/>
          <w:b w:val="0"/>
          <w:bCs w:val="0"/>
          <w:noProof/>
          <w:sz w:val="24"/>
          <w:szCs w:val="24"/>
          <w:lang w:val="en-AU"/>
        </w:rPr>
        <w:tab/>
      </w:r>
      <w:r w:rsidRPr="0012153F">
        <w:rPr>
          <w:rFonts w:asciiTheme="majorHAnsi" w:hAnsiTheme="majorHAnsi"/>
          <w:noProof/>
          <w:color w:val="0070C0"/>
        </w:rPr>
        <w:t>Search strategy and selection criteria in the pooled analysis</w:t>
      </w:r>
      <w:r>
        <w:rPr>
          <w:noProof/>
        </w:rPr>
        <w:tab/>
      </w:r>
      <w:r>
        <w:rPr>
          <w:noProof/>
        </w:rPr>
        <w:fldChar w:fldCharType="begin"/>
      </w:r>
      <w:r>
        <w:rPr>
          <w:noProof/>
        </w:rPr>
        <w:instrText xml:space="preserve"> PAGEREF _Toc32336007 \h </w:instrText>
      </w:r>
      <w:r>
        <w:rPr>
          <w:noProof/>
        </w:rPr>
      </w:r>
      <w:r>
        <w:rPr>
          <w:noProof/>
        </w:rPr>
        <w:fldChar w:fldCharType="separate"/>
      </w:r>
      <w:r>
        <w:rPr>
          <w:noProof/>
        </w:rPr>
        <w:t>6</w:t>
      </w:r>
      <w:r>
        <w:rPr>
          <w:noProof/>
        </w:rPr>
        <w:fldChar w:fldCharType="end"/>
      </w:r>
    </w:p>
    <w:p w14:paraId="74C9C529" w14:textId="1EAA6196" w:rsidR="007F3A07" w:rsidRDefault="007F3A07">
      <w:pPr>
        <w:pStyle w:val="TOC2"/>
        <w:tabs>
          <w:tab w:val="left" w:pos="960"/>
          <w:tab w:val="right" w:leader="dot" w:pos="9010"/>
        </w:tabs>
        <w:rPr>
          <w:rFonts w:eastAsiaTheme="minorEastAsia" w:cstheme="minorBidi"/>
          <w:b w:val="0"/>
          <w:bCs w:val="0"/>
          <w:noProof/>
          <w:sz w:val="24"/>
          <w:szCs w:val="24"/>
          <w:lang w:val="en-AU"/>
        </w:rPr>
      </w:pPr>
      <w:r w:rsidRPr="0012153F">
        <w:rPr>
          <w:rFonts w:asciiTheme="majorHAnsi" w:eastAsiaTheme="minorHAnsi" w:hAnsiTheme="majorHAnsi" w:cstheme="majorHAnsi"/>
          <w:noProof/>
          <w:color w:val="000000" w:themeColor="text1"/>
        </w:rPr>
        <w:t>1.2.1.</w:t>
      </w:r>
      <w:r>
        <w:rPr>
          <w:rFonts w:eastAsiaTheme="minorEastAsia" w:cstheme="minorBidi"/>
          <w:b w:val="0"/>
          <w:bCs w:val="0"/>
          <w:noProof/>
          <w:sz w:val="24"/>
          <w:szCs w:val="24"/>
          <w:lang w:val="en-AU"/>
        </w:rPr>
        <w:tab/>
      </w:r>
      <w:r w:rsidRPr="0012153F">
        <w:rPr>
          <w:rFonts w:asciiTheme="majorHAnsi" w:hAnsiTheme="majorHAnsi" w:cstheme="majorHAnsi"/>
          <w:noProof/>
          <w:color w:val="000000" w:themeColor="text1"/>
        </w:rPr>
        <w:t>Essential inclusion criteria</w:t>
      </w:r>
      <w:r>
        <w:rPr>
          <w:noProof/>
        </w:rPr>
        <w:tab/>
      </w:r>
      <w:r>
        <w:rPr>
          <w:noProof/>
        </w:rPr>
        <w:fldChar w:fldCharType="begin"/>
      </w:r>
      <w:r>
        <w:rPr>
          <w:noProof/>
        </w:rPr>
        <w:instrText xml:space="preserve"> PAGEREF _Toc32336008 \h </w:instrText>
      </w:r>
      <w:r>
        <w:rPr>
          <w:noProof/>
        </w:rPr>
      </w:r>
      <w:r>
        <w:rPr>
          <w:noProof/>
        </w:rPr>
        <w:fldChar w:fldCharType="separate"/>
      </w:r>
      <w:r>
        <w:rPr>
          <w:noProof/>
        </w:rPr>
        <w:t>6</w:t>
      </w:r>
      <w:r>
        <w:rPr>
          <w:noProof/>
        </w:rPr>
        <w:fldChar w:fldCharType="end"/>
      </w:r>
    </w:p>
    <w:p w14:paraId="7B9DA4DC" w14:textId="3569FF12" w:rsidR="007F3A07" w:rsidRDefault="007F3A07">
      <w:pPr>
        <w:pStyle w:val="TOC2"/>
        <w:tabs>
          <w:tab w:val="left" w:pos="960"/>
          <w:tab w:val="right" w:leader="dot" w:pos="9010"/>
        </w:tabs>
        <w:rPr>
          <w:rFonts w:eastAsiaTheme="minorEastAsia" w:cstheme="minorBidi"/>
          <w:b w:val="0"/>
          <w:bCs w:val="0"/>
          <w:noProof/>
          <w:sz w:val="24"/>
          <w:szCs w:val="24"/>
          <w:lang w:val="en-AU"/>
        </w:rPr>
      </w:pPr>
      <w:r w:rsidRPr="0012153F">
        <w:rPr>
          <w:rFonts w:asciiTheme="majorHAnsi" w:hAnsiTheme="majorHAnsi" w:cstheme="majorHAnsi"/>
          <w:noProof/>
          <w:color w:val="000000" w:themeColor="text1"/>
        </w:rPr>
        <w:t>1.2.2.</w:t>
      </w:r>
      <w:r>
        <w:rPr>
          <w:rFonts w:eastAsiaTheme="minorEastAsia" w:cstheme="minorBidi"/>
          <w:b w:val="0"/>
          <w:bCs w:val="0"/>
          <w:noProof/>
          <w:sz w:val="24"/>
          <w:szCs w:val="24"/>
          <w:lang w:val="en-AU"/>
        </w:rPr>
        <w:tab/>
      </w:r>
      <w:r w:rsidRPr="0012153F">
        <w:rPr>
          <w:rFonts w:asciiTheme="majorHAnsi" w:hAnsiTheme="majorHAnsi" w:cstheme="majorHAnsi"/>
          <w:noProof/>
          <w:color w:val="000000" w:themeColor="text1"/>
        </w:rPr>
        <w:t>Desirable criteria</w:t>
      </w:r>
      <w:r>
        <w:rPr>
          <w:noProof/>
        </w:rPr>
        <w:tab/>
      </w:r>
      <w:r>
        <w:rPr>
          <w:noProof/>
        </w:rPr>
        <w:fldChar w:fldCharType="begin"/>
      </w:r>
      <w:r>
        <w:rPr>
          <w:noProof/>
        </w:rPr>
        <w:instrText xml:space="preserve"> PAGEREF _Toc32336009 \h </w:instrText>
      </w:r>
      <w:r>
        <w:rPr>
          <w:noProof/>
        </w:rPr>
      </w:r>
      <w:r>
        <w:rPr>
          <w:noProof/>
        </w:rPr>
        <w:fldChar w:fldCharType="separate"/>
      </w:r>
      <w:r>
        <w:rPr>
          <w:noProof/>
        </w:rPr>
        <w:t>6</w:t>
      </w:r>
      <w:r>
        <w:rPr>
          <w:noProof/>
        </w:rPr>
        <w:fldChar w:fldCharType="end"/>
      </w:r>
    </w:p>
    <w:p w14:paraId="69CA8C92" w14:textId="6F892088" w:rsidR="007F3A07" w:rsidRDefault="007F3A07">
      <w:pPr>
        <w:pStyle w:val="TOC2"/>
        <w:tabs>
          <w:tab w:val="left" w:pos="960"/>
          <w:tab w:val="right" w:leader="dot" w:pos="9010"/>
        </w:tabs>
        <w:rPr>
          <w:rFonts w:eastAsiaTheme="minorEastAsia" w:cstheme="minorBidi"/>
          <w:b w:val="0"/>
          <w:bCs w:val="0"/>
          <w:noProof/>
          <w:sz w:val="24"/>
          <w:szCs w:val="24"/>
          <w:lang w:val="en-AU"/>
        </w:rPr>
      </w:pPr>
      <w:r w:rsidRPr="0012153F">
        <w:rPr>
          <w:rFonts w:asciiTheme="majorHAnsi" w:hAnsiTheme="majorHAnsi"/>
          <w:noProof/>
          <w:color w:val="000000" w:themeColor="text1"/>
        </w:rPr>
        <w:t>1.2.3.</w:t>
      </w:r>
      <w:r>
        <w:rPr>
          <w:rFonts w:eastAsiaTheme="minorEastAsia" w:cstheme="minorBidi"/>
          <w:b w:val="0"/>
          <w:bCs w:val="0"/>
          <w:noProof/>
          <w:sz w:val="24"/>
          <w:szCs w:val="24"/>
          <w:lang w:val="en-AU"/>
        </w:rPr>
        <w:tab/>
      </w:r>
      <w:r w:rsidRPr="0012153F">
        <w:rPr>
          <w:rFonts w:asciiTheme="majorHAnsi" w:hAnsiTheme="majorHAnsi" w:cstheme="majorHAnsi"/>
          <w:noProof/>
          <w:color w:val="000000" w:themeColor="text1"/>
        </w:rPr>
        <w:t>Exclusion Criteria</w:t>
      </w:r>
      <w:r>
        <w:rPr>
          <w:noProof/>
        </w:rPr>
        <w:tab/>
      </w:r>
      <w:r>
        <w:rPr>
          <w:noProof/>
        </w:rPr>
        <w:fldChar w:fldCharType="begin"/>
      </w:r>
      <w:r>
        <w:rPr>
          <w:noProof/>
        </w:rPr>
        <w:instrText xml:space="preserve"> PAGEREF _Toc32336010 \h </w:instrText>
      </w:r>
      <w:r>
        <w:rPr>
          <w:noProof/>
        </w:rPr>
      </w:r>
      <w:r>
        <w:rPr>
          <w:noProof/>
        </w:rPr>
        <w:fldChar w:fldCharType="separate"/>
      </w:r>
      <w:r>
        <w:rPr>
          <w:noProof/>
        </w:rPr>
        <w:t>7</w:t>
      </w:r>
      <w:r>
        <w:rPr>
          <w:noProof/>
        </w:rPr>
        <w:fldChar w:fldCharType="end"/>
      </w:r>
    </w:p>
    <w:p w14:paraId="1A7FB899" w14:textId="2587B0E0" w:rsidR="007F3A07" w:rsidRDefault="007F3A07">
      <w:pPr>
        <w:pStyle w:val="TOC2"/>
        <w:tabs>
          <w:tab w:val="left" w:pos="960"/>
          <w:tab w:val="right" w:leader="dot" w:pos="9010"/>
        </w:tabs>
        <w:rPr>
          <w:rFonts w:eastAsiaTheme="minorEastAsia" w:cstheme="minorBidi"/>
          <w:b w:val="0"/>
          <w:bCs w:val="0"/>
          <w:noProof/>
          <w:sz w:val="24"/>
          <w:szCs w:val="24"/>
          <w:lang w:val="en-AU"/>
        </w:rPr>
      </w:pPr>
      <w:r w:rsidRPr="0012153F">
        <w:rPr>
          <w:rFonts w:asciiTheme="majorHAnsi" w:hAnsiTheme="majorHAnsi"/>
          <w:noProof/>
          <w:color w:val="0070C0"/>
        </w:rPr>
        <w:t>1.3.</w:t>
      </w:r>
      <w:r>
        <w:rPr>
          <w:rFonts w:eastAsiaTheme="minorEastAsia" w:cstheme="minorBidi"/>
          <w:b w:val="0"/>
          <w:bCs w:val="0"/>
          <w:noProof/>
          <w:sz w:val="24"/>
          <w:szCs w:val="24"/>
          <w:lang w:val="en-AU"/>
        </w:rPr>
        <w:tab/>
      </w:r>
      <w:r w:rsidRPr="0012153F">
        <w:rPr>
          <w:rFonts w:asciiTheme="majorHAnsi" w:hAnsiTheme="majorHAnsi"/>
          <w:noProof/>
          <w:color w:val="0070C0"/>
        </w:rPr>
        <w:t>Data Pooling procedure</w:t>
      </w:r>
      <w:r>
        <w:rPr>
          <w:noProof/>
        </w:rPr>
        <w:tab/>
      </w:r>
      <w:r>
        <w:rPr>
          <w:noProof/>
        </w:rPr>
        <w:fldChar w:fldCharType="begin"/>
      </w:r>
      <w:r>
        <w:rPr>
          <w:noProof/>
        </w:rPr>
        <w:instrText xml:space="preserve"> PAGEREF _Toc32336011 \h </w:instrText>
      </w:r>
      <w:r>
        <w:rPr>
          <w:noProof/>
        </w:rPr>
      </w:r>
      <w:r>
        <w:rPr>
          <w:noProof/>
        </w:rPr>
        <w:fldChar w:fldCharType="separate"/>
      </w:r>
      <w:r>
        <w:rPr>
          <w:noProof/>
        </w:rPr>
        <w:t>7</w:t>
      </w:r>
      <w:r>
        <w:rPr>
          <w:noProof/>
        </w:rPr>
        <w:fldChar w:fldCharType="end"/>
      </w:r>
    </w:p>
    <w:p w14:paraId="30D98D37" w14:textId="4ED5FF1A" w:rsidR="007F3A07" w:rsidRDefault="007F3A07">
      <w:pPr>
        <w:pStyle w:val="TOC1"/>
        <w:tabs>
          <w:tab w:val="left" w:pos="480"/>
        </w:tabs>
        <w:rPr>
          <w:rFonts w:eastAsiaTheme="minorEastAsia" w:cstheme="minorBidi"/>
          <w:b w:val="0"/>
          <w:bCs w:val="0"/>
          <w:noProof/>
          <w:lang w:val="en-AU"/>
        </w:rPr>
      </w:pPr>
      <w:r>
        <w:rPr>
          <w:noProof/>
        </w:rPr>
        <w:t>2.</w:t>
      </w:r>
      <w:r>
        <w:rPr>
          <w:rFonts w:eastAsiaTheme="minorEastAsia" w:cstheme="minorBidi"/>
          <w:b w:val="0"/>
          <w:bCs w:val="0"/>
          <w:noProof/>
          <w:lang w:val="en-AU"/>
        </w:rPr>
        <w:tab/>
      </w:r>
      <w:r>
        <w:rPr>
          <w:noProof/>
        </w:rPr>
        <w:t>Outline of Statistical Analysis</w:t>
      </w:r>
      <w:r>
        <w:rPr>
          <w:noProof/>
        </w:rPr>
        <w:tab/>
      </w:r>
      <w:r>
        <w:rPr>
          <w:noProof/>
        </w:rPr>
        <w:fldChar w:fldCharType="begin"/>
      </w:r>
      <w:r>
        <w:rPr>
          <w:noProof/>
        </w:rPr>
        <w:instrText xml:space="preserve"> PAGEREF _Toc32336012 \h </w:instrText>
      </w:r>
      <w:r>
        <w:rPr>
          <w:noProof/>
        </w:rPr>
      </w:r>
      <w:r>
        <w:rPr>
          <w:noProof/>
        </w:rPr>
        <w:fldChar w:fldCharType="separate"/>
      </w:r>
      <w:r>
        <w:rPr>
          <w:noProof/>
        </w:rPr>
        <w:t>7</w:t>
      </w:r>
      <w:r>
        <w:rPr>
          <w:noProof/>
        </w:rPr>
        <w:fldChar w:fldCharType="end"/>
      </w:r>
    </w:p>
    <w:p w14:paraId="250B4356" w14:textId="3D5B6560" w:rsidR="007F3A07" w:rsidRDefault="007F3A07">
      <w:pPr>
        <w:pStyle w:val="TOC2"/>
        <w:tabs>
          <w:tab w:val="left" w:pos="960"/>
          <w:tab w:val="right" w:leader="dot" w:pos="9010"/>
        </w:tabs>
        <w:rPr>
          <w:rFonts w:eastAsiaTheme="minorEastAsia" w:cstheme="minorBidi"/>
          <w:b w:val="0"/>
          <w:bCs w:val="0"/>
          <w:noProof/>
          <w:sz w:val="24"/>
          <w:szCs w:val="24"/>
          <w:lang w:val="en-AU"/>
        </w:rPr>
      </w:pPr>
      <w:r w:rsidRPr="0012153F">
        <w:rPr>
          <w:rFonts w:asciiTheme="majorHAnsi" w:hAnsiTheme="majorHAnsi"/>
          <w:noProof/>
          <w:color w:val="2E74B5" w:themeColor="accent1" w:themeShade="BF"/>
        </w:rPr>
        <w:t>2.1.</w:t>
      </w:r>
      <w:r>
        <w:rPr>
          <w:rFonts w:eastAsiaTheme="minorEastAsia" w:cstheme="minorBidi"/>
          <w:b w:val="0"/>
          <w:bCs w:val="0"/>
          <w:noProof/>
          <w:sz w:val="24"/>
          <w:szCs w:val="24"/>
          <w:lang w:val="en-AU"/>
        </w:rPr>
        <w:tab/>
      </w:r>
      <w:r w:rsidRPr="0012153F">
        <w:rPr>
          <w:rFonts w:asciiTheme="majorHAnsi" w:hAnsiTheme="majorHAnsi"/>
          <w:noProof/>
          <w:color w:val="2E74B5" w:themeColor="accent1" w:themeShade="BF"/>
        </w:rPr>
        <w:t>Specific objectives of the study</w:t>
      </w:r>
      <w:r>
        <w:rPr>
          <w:noProof/>
        </w:rPr>
        <w:tab/>
      </w:r>
      <w:r>
        <w:rPr>
          <w:noProof/>
        </w:rPr>
        <w:fldChar w:fldCharType="begin"/>
      </w:r>
      <w:r>
        <w:rPr>
          <w:noProof/>
        </w:rPr>
        <w:instrText xml:space="preserve"> PAGEREF _Toc32336013 \h </w:instrText>
      </w:r>
      <w:r>
        <w:rPr>
          <w:noProof/>
        </w:rPr>
      </w:r>
      <w:r>
        <w:rPr>
          <w:noProof/>
        </w:rPr>
        <w:fldChar w:fldCharType="separate"/>
      </w:r>
      <w:r>
        <w:rPr>
          <w:noProof/>
        </w:rPr>
        <w:t>7</w:t>
      </w:r>
      <w:r>
        <w:rPr>
          <w:noProof/>
        </w:rPr>
        <w:fldChar w:fldCharType="end"/>
      </w:r>
    </w:p>
    <w:p w14:paraId="3C22F13D" w14:textId="355CDD05" w:rsidR="007F3A07" w:rsidRDefault="007F3A07">
      <w:pPr>
        <w:pStyle w:val="TOC2"/>
        <w:tabs>
          <w:tab w:val="left" w:pos="960"/>
          <w:tab w:val="right" w:leader="dot" w:pos="9010"/>
        </w:tabs>
        <w:rPr>
          <w:rFonts w:eastAsiaTheme="minorEastAsia" w:cstheme="minorBidi"/>
          <w:b w:val="0"/>
          <w:bCs w:val="0"/>
          <w:noProof/>
          <w:sz w:val="24"/>
          <w:szCs w:val="24"/>
          <w:lang w:val="en-AU"/>
        </w:rPr>
      </w:pPr>
      <w:r w:rsidRPr="0012153F">
        <w:rPr>
          <w:rFonts w:asciiTheme="majorHAnsi" w:hAnsiTheme="majorHAnsi"/>
          <w:noProof/>
          <w:color w:val="2E74B5" w:themeColor="accent1" w:themeShade="BF"/>
        </w:rPr>
        <w:t>2.2.</w:t>
      </w:r>
      <w:r>
        <w:rPr>
          <w:rFonts w:eastAsiaTheme="minorEastAsia" w:cstheme="minorBidi"/>
          <w:b w:val="0"/>
          <w:bCs w:val="0"/>
          <w:noProof/>
          <w:sz w:val="24"/>
          <w:szCs w:val="24"/>
          <w:lang w:val="en-AU"/>
        </w:rPr>
        <w:tab/>
      </w:r>
      <w:r w:rsidRPr="0012153F">
        <w:rPr>
          <w:rFonts w:asciiTheme="majorHAnsi" w:hAnsiTheme="majorHAnsi"/>
          <w:noProof/>
          <w:color w:val="2E74B5" w:themeColor="accent1" w:themeShade="BF"/>
        </w:rPr>
        <w:t>Study endpoints</w:t>
      </w:r>
      <w:r>
        <w:rPr>
          <w:noProof/>
        </w:rPr>
        <w:tab/>
      </w:r>
      <w:r>
        <w:rPr>
          <w:noProof/>
        </w:rPr>
        <w:fldChar w:fldCharType="begin"/>
      </w:r>
      <w:r>
        <w:rPr>
          <w:noProof/>
        </w:rPr>
        <w:instrText xml:space="preserve"> PAGEREF _Toc32336014 \h </w:instrText>
      </w:r>
      <w:r>
        <w:rPr>
          <w:noProof/>
        </w:rPr>
      </w:r>
      <w:r>
        <w:rPr>
          <w:noProof/>
        </w:rPr>
        <w:fldChar w:fldCharType="separate"/>
      </w:r>
      <w:r>
        <w:rPr>
          <w:noProof/>
        </w:rPr>
        <w:t>8</w:t>
      </w:r>
      <w:r>
        <w:rPr>
          <w:noProof/>
        </w:rPr>
        <w:fldChar w:fldCharType="end"/>
      </w:r>
    </w:p>
    <w:p w14:paraId="238D9770" w14:textId="610B98D4" w:rsidR="007F3A07" w:rsidRDefault="007F3A07">
      <w:pPr>
        <w:pStyle w:val="TOC2"/>
        <w:tabs>
          <w:tab w:val="left" w:pos="960"/>
          <w:tab w:val="right" w:leader="dot" w:pos="9010"/>
        </w:tabs>
        <w:rPr>
          <w:rFonts w:eastAsiaTheme="minorEastAsia" w:cstheme="minorBidi"/>
          <w:b w:val="0"/>
          <w:bCs w:val="0"/>
          <w:noProof/>
          <w:sz w:val="24"/>
          <w:szCs w:val="24"/>
          <w:lang w:val="en-AU"/>
        </w:rPr>
      </w:pPr>
      <w:r w:rsidRPr="0012153F">
        <w:rPr>
          <w:rFonts w:asciiTheme="majorHAnsi" w:hAnsiTheme="majorHAnsi"/>
          <w:noProof/>
          <w:color w:val="0070C0"/>
        </w:rPr>
        <w:t>2.3.</w:t>
      </w:r>
      <w:r>
        <w:rPr>
          <w:rFonts w:eastAsiaTheme="minorEastAsia" w:cstheme="minorBidi"/>
          <w:b w:val="0"/>
          <w:bCs w:val="0"/>
          <w:noProof/>
          <w:sz w:val="24"/>
          <w:szCs w:val="24"/>
          <w:lang w:val="en-AU"/>
        </w:rPr>
        <w:tab/>
      </w:r>
      <w:r w:rsidRPr="0012153F">
        <w:rPr>
          <w:rFonts w:asciiTheme="majorHAnsi" w:hAnsiTheme="majorHAnsi"/>
          <w:noProof/>
          <w:color w:val="0070C0"/>
        </w:rPr>
        <w:t>Definitions</w:t>
      </w:r>
      <w:r>
        <w:rPr>
          <w:noProof/>
        </w:rPr>
        <w:tab/>
      </w:r>
      <w:r>
        <w:rPr>
          <w:noProof/>
        </w:rPr>
        <w:fldChar w:fldCharType="begin"/>
      </w:r>
      <w:r>
        <w:rPr>
          <w:noProof/>
        </w:rPr>
        <w:instrText xml:space="preserve"> PAGEREF _Toc32336015 \h </w:instrText>
      </w:r>
      <w:r>
        <w:rPr>
          <w:noProof/>
        </w:rPr>
      </w:r>
      <w:r>
        <w:rPr>
          <w:noProof/>
        </w:rPr>
        <w:fldChar w:fldCharType="separate"/>
      </w:r>
      <w:r>
        <w:rPr>
          <w:noProof/>
        </w:rPr>
        <w:t>8</w:t>
      </w:r>
      <w:r>
        <w:rPr>
          <w:noProof/>
        </w:rPr>
        <w:fldChar w:fldCharType="end"/>
      </w:r>
    </w:p>
    <w:p w14:paraId="09F77B35" w14:textId="0D993719" w:rsidR="007F3A07" w:rsidRDefault="007F3A07">
      <w:pPr>
        <w:pStyle w:val="TOC1"/>
        <w:rPr>
          <w:rFonts w:eastAsiaTheme="minorEastAsia" w:cstheme="minorBidi"/>
          <w:b w:val="0"/>
          <w:bCs w:val="0"/>
          <w:noProof/>
          <w:lang w:val="en-AU"/>
        </w:rPr>
      </w:pPr>
      <w:r>
        <w:rPr>
          <w:noProof/>
        </w:rPr>
        <w:t>4. PRISMA Statement</w:t>
      </w:r>
      <w:r>
        <w:rPr>
          <w:noProof/>
        </w:rPr>
        <w:tab/>
      </w:r>
      <w:r>
        <w:rPr>
          <w:noProof/>
        </w:rPr>
        <w:fldChar w:fldCharType="begin"/>
      </w:r>
      <w:r>
        <w:rPr>
          <w:noProof/>
        </w:rPr>
        <w:instrText xml:space="preserve"> PAGEREF _Toc32336016 \h </w:instrText>
      </w:r>
      <w:r>
        <w:rPr>
          <w:noProof/>
        </w:rPr>
      </w:r>
      <w:r>
        <w:rPr>
          <w:noProof/>
        </w:rPr>
        <w:fldChar w:fldCharType="separate"/>
      </w:r>
      <w:r>
        <w:rPr>
          <w:noProof/>
        </w:rPr>
        <w:t>13</w:t>
      </w:r>
      <w:r>
        <w:rPr>
          <w:noProof/>
        </w:rPr>
        <w:fldChar w:fldCharType="end"/>
      </w:r>
    </w:p>
    <w:p w14:paraId="763E59B9" w14:textId="00EDAE71" w:rsidR="007F3A07" w:rsidRDefault="007F3A07">
      <w:pPr>
        <w:pStyle w:val="TOC1"/>
        <w:rPr>
          <w:rFonts w:eastAsiaTheme="minorEastAsia" w:cstheme="minorBidi"/>
          <w:b w:val="0"/>
          <w:bCs w:val="0"/>
          <w:noProof/>
          <w:lang w:val="en-AU"/>
        </w:rPr>
      </w:pPr>
      <w:r>
        <w:rPr>
          <w:noProof/>
        </w:rPr>
        <w:t>5. Tools</w:t>
      </w:r>
      <w:r>
        <w:rPr>
          <w:noProof/>
        </w:rPr>
        <w:tab/>
      </w:r>
      <w:r>
        <w:rPr>
          <w:noProof/>
        </w:rPr>
        <w:fldChar w:fldCharType="begin"/>
      </w:r>
      <w:r>
        <w:rPr>
          <w:noProof/>
        </w:rPr>
        <w:instrText xml:space="preserve"> PAGEREF _Toc32336017 \h </w:instrText>
      </w:r>
      <w:r>
        <w:rPr>
          <w:noProof/>
        </w:rPr>
      </w:r>
      <w:r>
        <w:rPr>
          <w:noProof/>
        </w:rPr>
        <w:fldChar w:fldCharType="separate"/>
      </w:r>
      <w:r>
        <w:rPr>
          <w:noProof/>
        </w:rPr>
        <w:t>13</w:t>
      </w:r>
      <w:r>
        <w:rPr>
          <w:noProof/>
        </w:rPr>
        <w:fldChar w:fldCharType="end"/>
      </w:r>
    </w:p>
    <w:p w14:paraId="5104F442" w14:textId="46B50EB0" w:rsidR="007F3A07" w:rsidRDefault="007F3A07">
      <w:pPr>
        <w:pStyle w:val="TOC1"/>
        <w:rPr>
          <w:rFonts w:eastAsiaTheme="minorEastAsia" w:cstheme="minorBidi"/>
          <w:b w:val="0"/>
          <w:bCs w:val="0"/>
          <w:noProof/>
          <w:lang w:val="en-AU"/>
        </w:rPr>
      </w:pPr>
      <w:r>
        <w:rPr>
          <w:noProof/>
        </w:rPr>
        <w:t>6. Study Group Governance, Management, Coordination and Publication Policy</w:t>
      </w:r>
      <w:r>
        <w:rPr>
          <w:noProof/>
        </w:rPr>
        <w:tab/>
      </w:r>
      <w:r>
        <w:rPr>
          <w:noProof/>
        </w:rPr>
        <w:fldChar w:fldCharType="begin"/>
      </w:r>
      <w:r>
        <w:rPr>
          <w:noProof/>
        </w:rPr>
        <w:instrText xml:space="preserve"> PAGEREF _Toc32336018 \h </w:instrText>
      </w:r>
      <w:r>
        <w:rPr>
          <w:noProof/>
        </w:rPr>
      </w:r>
      <w:r>
        <w:rPr>
          <w:noProof/>
        </w:rPr>
        <w:fldChar w:fldCharType="separate"/>
      </w:r>
      <w:r>
        <w:rPr>
          <w:noProof/>
        </w:rPr>
        <w:t>13</w:t>
      </w:r>
      <w:r>
        <w:rPr>
          <w:noProof/>
        </w:rPr>
        <w:fldChar w:fldCharType="end"/>
      </w:r>
    </w:p>
    <w:p w14:paraId="461B711A" w14:textId="7E663A91" w:rsidR="007F3A07" w:rsidRDefault="007F3A07">
      <w:pPr>
        <w:pStyle w:val="TOC1"/>
        <w:rPr>
          <w:rFonts w:eastAsiaTheme="minorEastAsia" w:cstheme="minorBidi"/>
          <w:b w:val="0"/>
          <w:bCs w:val="0"/>
          <w:noProof/>
          <w:lang w:val="en-AU"/>
        </w:rPr>
      </w:pPr>
      <w:r>
        <w:rPr>
          <w:noProof/>
        </w:rPr>
        <w:t>7. References</w:t>
      </w:r>
      <w:r>
        <w:rPr>
          <w:noProof/>
        </w:rPr>
        <w:tab/>
      </w:r>
      <w:r>
        <w:rPr>
          <w:noProof/>
        </w:rPr>
        <w:fldChar w:fldCharType="begin"/>
      </w:r>
      <w:r>
        <w:rPr>
          <w:noProof/>
        </w:rPr>
        <w:instrText xml:space="preserve"> PAGEREF _Toc32336019 \h </w:instrText>
      </w:r>
      <w:r>
        <w:rPr>
          <w:noProof/>
        </w:rPr>
      </w:r>
      <w:r>
        <w:rPr>
          <w:noProof/>
        </w:rPr>
        <w:fldChar w:fldCharType="separate"/>
      </w:r>
      <w:r>
        <w:rPr>
          <w:noProof/>
        </w:rPr>
        <w:t>14</w:t>
      </w:r>
      <w:r>
        <w:rPr>
          <w:noProof/>
        </w:rPr>
        <w:fldChar w:fldCharType="end"/>
      </w:r>
    </w:p>
    <w:p w14:paraId="3F1BCAE2" w14:textId="25CEC638" w:rsidR="00457F3C" w:rsidRPr="003F41FF" w:rsidRDefault="00457F3C" w:rsidP="009003D8">
      <w:pPr>
        <w:spacing w:before="100" w:beforeAutospacing="1" w:after="100" w:afterAutospacing="1"/>
        <w:rPr>
          <w:b/>
          <w:bCs/>
          <w:sz w:val="28"/>
          <w:szCs w:val="28"/>
        </w:rPr>
      </w:pPr>
      <w:r w:rsidRPr="009003D8">
        <w:rPr>
          <w:rFonts w:asciiTheme="majorHAnsi" w:hAnsiTheme="majorHAnsi" w:cstheme="majorHAnsi"/>
          <w:b/>
          <w:bCs/>
          <w:i/>
          <w:iCs/>
          <w:sz w:val="20"/>
          <w:szCs w:val="20"/>
        </w:rPr>
        <w:fldChar w:fldCharType="end"/>
      </w:r>
    </w:p>
    <w:p w14:paraId="2843081C" w14:textId="77777777" w:rsidR="00457F3C" w:rsidRPr="003F41FF" w:rsidRDefault="00457F3C" w:rsidP="00AF7B28">
      <w:pPr>
        <w:spacing w:before="100" w:beforeAutospacing="1" w:after="100" w:afterAutospacing="1" w:line="360" w:lineRule="auto"/>
        <w:rPr>
          <w:b/>
          <w:bCs/>
          <w:sz w:val="28"/>
          <w:szCs w:val="28"/>
        </w:rPr>
      </w:pPr>
    </w:p>
    <w:p w14:paraId="2E9AE301" w14:textId="77777777" w:rsidR="00457F3C" w:rsidRPr="003F41FF" w:rsidRDefault="00457F3C" w:rsidP="00AF7B28">
      <w:pPr>
        <w:spacing w:before="100" w:beforeAutospacing="1" w:after="100" w:afterAutospacing="1" w:line="360" w:lineRule="auto"/>
        <w:rPr>
          <w:rFonts w:asciiTheme="majorHAnsi" w:eastAsiaTheme="majorEastAsia" w:hAnsiTheme="majorHAnsi" w:cstheme="majorBidi"/>
          <w:color w:val="2E74B5" w:themeColor="accent1" w:themeShade="BF"/>
          <w:sz w:val="26"/>
          <w:szCs w:val="26"/>
        </w:rPr>
      </w:pPr>
      <w:r w:rsidRPr="003F41FF">
        <w:br w:type="page"/>
      </w:r>
    </w:p>
    <w:p w14:paraId="198EA2A1" w14:textId="40D763F7" w:rsidR="001869E2" w:rsidRPr="00AF7B28" w:rsidRDefault="00457F3C" w:rsidP="00AF7B28">
      <w:pPr>
        <w:pStyle w:val="Heading1"/>
        <w:numPr>
          <w:ilvl w:val="0"/>
          <w:numId w:val="29"/>
        </w:numPr>
        <w:spacing w:before="100" w:beforeAutospacing="1" w:after="100" w:afterAutospacing="1" w:line="360" w:lineRule="auto"/>
      </w:pPr>
      <w:bookmarkStart w:id="3" w:name="_Toc457660138"/>
      <w:bookmarkStart w:id="4" w:name="_Toc32336005"/>
      <w:r w:rsidRPr="00AE7BCB">
        <w:lastRenderedPageBreak/>
        <w:t>Introduction and Rationale</w:t>
      </w:r>
      <w:bookmarkEnd w:id="3"/>
      <w:bookmarkEnd w:id="4"/>
    </w:p>
    <w:p w14:paraId="3DC7FC26" w14:textId="6BCA2EB3" w:rsidR="00D50D9D" w:rsidRPr="000C4838" w:rsidRDefault="00D50D9D" w:rsidP="00AF7B28">
      <w:pPr>
        <w:widowControl w:val="0"/>
        <w:autoSpaceDE w:val="0"/>
        <w:autoSpaceDN w:val="0"/>
        <w:adjustRightInd w:val="0"/>
        <w:spacing w:before="100" w:beforeAutospacing="1" w:after="100" w:afterAutospacing="1" w:line="360" w:lineRule="auto"/>
        <w:jc w:val="both"/>
        <w:rPr>
          <w:rFonts w:asciiTheme="majorHAnsi" w:hAnsiTheme="majorHAnsi" w:cstheme="majorHAnsi"/>
          <w:bCs/>
          <w:color w:val="000000" w:themeColor="text1"/>
          <w:sz w:val="22"/>
          <w:szCs w:val="22"/>
        </w:rPr>
      </w:pPr>
      <w:r w:rsidRPr="000C4838">
        <w:rPr>
          <w:rFonts w:asciiTheme="majorHAnsi" w:hAnsiTheme="majorHAnsi" w:cstheme="majorHAnsi"/>
          <w:bCs/>
          <w:color w:val="000000" w:themeColor="text1"/>
          <w:sz w:val="22"/>
          <w:szCs w:val="22"/>
        </w:rPr>
        <w:t>Malaria is a leading cause of morbidity and mortality, with approximately 2</w:t>
      </w:r>
      <w:r w:rsidR="00C064F3">
        <w:rPr>
          <w:rFonts w:asciiTheme="majorHAnsi" w:hAnsiTheme="majorHAnsi" w:cstheme="majorHAnsi"/>
          <w:bCs/>
          <w:color w:val="000000" w:themeColor="text1"/>
          <w:sz w:val="22"/>
          <w:szCs w:val="22"/>
        </w:rPr>
        <w:t>28</w:t>
      </w:r>
      <w:r w:rsidRPr="000C4838">
        <w:rPr>
          <w:rFonts w:asciiTheme="majorHAnsi" w:hAnsiTheme="majorHAnsi" w:cstheme="majorHAnsi"/>
          <w:bCs/>
          <w:color w:val="000000" w:themeColor="text1"/>
          <w:sz w:val="22"/>
          <w:szCs w:val="22"/>
        </w:rPr>
        <w:t xml:space="preserve"> million clinical cases each year throughout the world. The </w:t>
      </w:r>
      <w:r w:rsidRPr="000C4838">
        <w:rPr>
          <w:rFonts w:asciiTheme="majorHAnsi" w:hAnsiTheme="majorHAnsi" w:cstheme="majorHAnsi"/>
          <w:color w:val="000000" w:themeColor="text1"/>
          <w:sz w:val="22"/>
          <w:szCs w:val="22"/>
          <w:bdr w:val="none" w:sz="0" w:space="0" w:color="auto" w:frame="1"/>
          <w:lang w:eastAsia="en-AU"/>
        </w:rPr>
        <w:t xml:space="preserve">WHO </w:t>
      </w:r>
      <w:r w:rsidRPr="000C4838">
        <w:rPr>
          <w:rFonts w:asciiTheme="majorHAnsi" w:hAnsiTheme="majorHAnsi" w:cstheme="majorHAnsi"/>
          <w:i/>
          <w:iCs/>
          <w:color w:val="000000" w:themeColor="text1"/>
          <w:sz w:val="22"/>
          <w:szCs w:val="22"/>
          <w:bdr w:val="none" w:sz="0" w:space="0" w:color="auto" w:frame="1"/>
          <w:lang w:eastAsia="en-AU"/>
        </w:rPr>
        <w:t>Global Technical Strategy for Malaria 2016–2030</w:t>
      </w:r>
      <w:r w:rsidRPr="000C4838">
        <w:rPr>
          <w:rFonts w:asciiTheme="majorHAnsi" w:hAnsiTheme="majorHAnsi" w:cstheme="majorHAnsi"/>
          <w:color w:val="000000" w:themeColor="text1"/>
          <w:sz w:val="22"/>
          <w:szCs w:val="22"/>
          <w:bdr w:val="none" w:sz="0" w:space="0" w:color="auto" w:frame="1"/>
          <w:lang w:eastAsia="en-AU"/>
        </w:rPr>
        <w:t> has set the following ambitious goals for 2030: r</w:t>
      </w:r>
      <w:r w:rsidRPr="000C4838">
        <w:rPr>
          <w:rFonts w:asciiTheme="majorHAnsi" w:hAnsiTheme="majorHAnsi" w:cstheme="majorHAnsi"/>
          <w:color w:val="000000" w:themeColor="text1"/>
          <w:sz w:val="22"/>
          <w:szCs w:val="22"/>
          <w:lang w:eastAsia="en-AU"/>
        </w:rPr>
        <w:t>educing malaria case incidence and mortality rates by at least 90% and eliminating malaria in at least 35 countries</w:t>
      </w:r>
      <w:r w:rsidR="002A25B4">
        <w:rPr>
          <w:rFonts w:asciiTheme="majorHAnsi" w:hAnsiTheme="majorHAnsi" w:cstheme="majorHAnsi"/>
          <w:color w:val="000000" w:themeColor="text1"/>
          <w:sz w:val="22"/>
          <w:szCs w:val="22"/>
          <w:lang w:eastAsia="en-AU"/>
        </w:rPr>
        <w:fldChar w:fldCharType="begin" w:fldLock="1"/>
      </w:r>
      <w:r w:rsidR="000B2A70">
        <w:rPr>
          <w:rFonts w:asciiTheme="majorHAnsi" w:hAnsiTheme="majorHAnsi" w:cstheme="majorHAnsi"/>
          <w:color w:val="000000" w:themeColor="text1"/>
          <w:sz w:val="22"/>
          <w:szCs w:val="22"/>
          <w:lang w:eastAsia="en-AU"/>
        </w:rPr>
        <w:instrText>ADDIN CSL_CITATION {"citationItems":[{"id":"ITEM-1","itemData":{"URL":"https://www.who.int/publications-detail/world-malaria-report-2019","accessed":{"date-parts":[["2019","12","20"]]},"id":"ITEM-1","issued":{"date-parts":[["0"]]},"title":"World malaria report 2019","type":"webpage"},"uris":["http://www.mendeley.com/documents/?uuid=d5ec54df-0001-3767-a221-e1e8111e09f3"]}],"mendeley":{"formattedCitation":"(1)","plainTextFormattedCitation":"(1)","previouslyFormattedCitation":"(1)"},"properties":{"noteIndex":0},"schema":"https://github.com/citation-style-language/schema/raw/master/csl-citation.json"}</w:instrText>
      </w:r>
      <w:r w:rsidR="002A25B4">
        <w:rPr>
          <w:rFonts w:asciiTheme="majorHAnsi" w:hAnsiTheme="majorHAnsi" w:cstheme="majorHAnsi"/>
          <w:color w:val="000000" w:themeColor="text1"/>
          <w:sz w:val="22"/>
          <w:szCs w:val="22"/>
          <w:lang w:eastAsia="en-AU"/>
        </w:rPr>
        <w:fldChar w:fldCharType="separate"/>
      </w:r>
      <w:r w:rsidR="002A25B4" w:rsidRPr="002A25B4">
        <w:rPr>
          <w:rFonts w:asciiTheme="majorHAnsi" w:hAnsiTheme="majorHAnsi" w:cstheme="majorHAnsi"/>
          <w:noProof/>
          <w:color w:val="000000" w:themeColor="text1"/>
          <w:sz w:val="22"/>
          <w:szCs w:val="22"/>
          <w:lang w:eastAsia="en-AU"/>
        </w:rPr>
        <w:t>(1)</w:t>
      </w:r>
      <w:r w:rsidR="002A25B4">
        <w:rPr>
          <w:rFonts w:asciiTheme="majorHAnsi" w:hAnsiTheme="majorHAnsi" w:cstheme="majorHAnsi"/>
          <w:color w:val="000000" w:themeColor="text1"/>
          <w:sz w:val="22"/>
          <w:szCs w:val="22"/>
          <w:lang w:eastAsia="en-AU"/>
        </w:rPr>
        <w:fldChar w:fldCharType="end"/>
      </w:r>
      <w:r w:rsidRPr="000C4838">
        <w:rPr>
          <w:rFonts w:asciiTheme="majorHAnsi" w:hAnsiTheme="majorHAnsi" w:cstheme="majorHAnsi"/>
          <w:color w:val="000000" w:themeColor="text1"/>
          <w:sz w:val="22"/>
          <w:szCs w:val="22"/>
          <w:lang w:eastAsia="en-AU"/>
        </w:rPr>
        <w:t xml:space="preserve">. </w:t>
      </w:r>
      <w:r w:rsidRPr="000C4838">
        <w:rPr>
          <w:rFonts w:asciiTheme="majorHAnsi" w:hAnsiTheme="majorHAnsi" w:cstheme="majorHAnsi"/>
          <w:bCs/>
          <w:color w:val="000000" w:themeColor="text1"/>
          <w:sz w:val="22"/>
          <w:szCs w:val="22"/>
        </w:rPr>
        <w:t xml:space="preserve">Efficacious treatment of malaria is one of the key factors to achieve these goals. In this regard, adherence to antimalarial drugs is an important, but </w:t>
      </w:r>
      <w:r w:rsidR="00CA42CB" w:rsidRPr="000C4838">
        <w:rPr>
          <w:rFonts w:asciiTheme="majorHAnsi" w:hAnsiTheme="majorHAnsi" w:cstheme="majorHAnsi"/>
          <w:bCs/>
          <w:color w:val="000000" w:themeColor="text1"/>
          <w:sz w:val="22"/>
          <w:szCs w:val="22"/>
        </w:rPr>
        <w:t xml:space="preserve">the </w:t>
      </w:r>
      <w:r w:rsidRPr="000C4838">
        <w:rPr>
          <w:rFonts w:asciiTheme="majorHAnsi" w:hAnsiTheme="majorHAnsi" w:cstheme="majorHAnsi"/>
          <w:bCs/>
          <w:color w:val="000000" w:themeColor="text1"/>
          <w:sz w:val="22"/>
          <w:szCs w:val="22"/>
        </w:rPr>
        <w:t xml:space="preserve">less </w:t>
      </w:r>
      <w:r w:rsidR="00221D5F" w:rsidRPr="000C4838">
        <w:rPr>
          <w:rFonts w:asciiTheme="majorHAnsi" w:hAnsiTheme="majorHAnsi" w:cstheme="majorHAnsi"/>
          <w:bCs/>
          <w:color w:val="000000" w:themeColor="text1"/>
          <w:sz w:val="22"/>
          <w:szCs w:val="22"/>
        </w:rPr>
        <w:t>emphasi</w:t>
      </w:r>
      <w:r w:rsidR="00634286">
        <w:rPr>
          <w:rFonts w:asciiTheme="majorHAnsi" w:hAnsiTheme="majorHAnsi" w:cstheme="majorHAnsi"/>
          <w:bCs/>
          <w:color w:val="000000" w:themeColor="text1"/>
          <w:sz w:val="22"/>
          <w:szCs w:val="22"/>
        </w:rPr>
        <w:t>s</w:t>
      </w:r>
      <w:r w:rsidR="00221D5F" w:rsidRPr="000C4838">
        <w:rPr>
          <w:rFonts w:asciiTheme="majorHAnsi" w:hAnsiTheme="majorHAnsi" w:cstheme="majorHAnsi"/>
          <w:bCs/>
          <w:color w:val="000000" w:themeColor="text1"/>
          <w:sz w:val="22"/>
          <w:szCs w:val="22"/>
        </w:rPr>
        <w:t>ed</w:t>
      </w:r>
      <w:r w:rsidRPr="000C4838">
        <w:rPr>
          <w:rFonts w:asciiTheme="majorHAnsi" w:hAnsiTheme="majorHAnsi" w:cstheme="majorHAnsi"/>
          <w:bCs/>
          <w:color w:val="000000" w:themeColor="text1"/>
          <w:sz w:val="22"/>
          <w:szCs w:val="22"/>
        </w:rPr>
        <w:t xml:space="preserve"> factor, since clinical trials usually focus on the safety and efficacy of antimalarial drugs</w:t>
      </w:r>
      <w:r w:rsidR="00E540E4" w:rsidRPr="000C4838">
        <w:rPr>
          <w:rFonts w:asciiTheme="majorHAnsi" w:hAnsiTheme="majorHAnsi" w:cstheme="majorHAnsi"/>
          <w:bCs/>
          <w:color w:val="000000" w:themeColor="text1"/>
          <w:sz w:val="22"/>
          <w:szCs w:val="22"/>
        </w:rPr>
        <w:fldChar w:fldCharType="begin" w:fldLock="1"/>
      </w:r>
      <w:r w:rsidR="00E540E4" w:rsidRPr="000C4838">
        <w:rPr>
          <w:rFonts w:asciiTheme="majorHAnsi" w:hAnsiTheme="majorHAnsi" w:cstheme="majorHAnsi"/>
          <w:bCs/>
          <w:color w:val="000000" w:themeColor="text1"/>
          <w:sz w:val="22"/>
          <w:szCs w:val="22"/>
        </w:rPr>
        <w:instrText>ADDIN CSL_CITATION {"citationItems":[{"id":"ITEM-1","itemData":{"DOI":"10.1038/s41467-017-01352-3","ISSN":"20411723","abstract":"© 2017 The Author(s). Artemether-lumefantrine (AL) is the most widely-recommended treatment for uncomplicated Plasmodium falciparum malaria worldwide. Its safety and efficacy have been extensively demonstrated in clinical trials; however, its performance in routine health care settings, where adherence to drug treatment is unsupervised and therefore may be suboptimal, is less well characterised. Here we develop a within-host modelling framework for estimating the effects of sub-optimal adherence to AL treatment on clinical outcomes in malaria patients. Our model incorporates the data on the human immune response to the parasite, and AL's pharmacokinetic and pharmacodynamic properties. Utilising individual-level data of adherence to AL in 482 Tanzanian patients as input for our model predicted higher rates of treatment failure than were obtained when adherence was optimal (9% compared to 4%). Our model estimates that the impact of imperfect adherence was worst in children, highlighting the importance of advice to caregivers.","author":[{"dropping-particle":"","family":"Challenger","given":"Joseph D.","non-dropping-particle":"","parse-names":false,"suffix":""},{"dropping-particle":"","family":"Bruxvoort","given":"Katia","non-dropping-particle":"","parse-names":false,"suffix":""},{"dropping-particle":"","family":"Ghani","given":"Azra C.","non-dropping-particle":"","parse-names":false,"suffix":""},{"dropping-particle":"","family":"Okell","given":"Lucy C.","non-dropping-particle":"","parse-names":false,"suffix":""}],"container-title":"Nature Communications","id":"ITEM-1","issue":"1","issued":{"date-parts":[["2017"]]},"publisher":"Springer US","title":"Assessing the impact of imperfect adherence to artemether-lumefantrine on malaria treatment outcomes using within-host modelling","type":"article-journal","volume":"8"},"uris":["http://www.mendeley.com/documents/?uuid=e2e214a4-060a-4913-be16-701bbff516a4"]}],"mendeley":{"formattedCitation":"(2)","plainTextFormattedCitation":"(2)","previouslyFormattedCitation":"(2)"},"properties":{"noteIndex":0},"schema":"https://github.com/citation-style-language/schema/raw/master/csl-citation.json"}</w:instrText>
      </w:r>
      <w:r w:rsidR="00E540E4" w:rsidRPr="000C4838">
        <w:rPr>
          <w:rFonts w:asciiTheme="majorHAnsi" w:hAnsiTheme="majorHAnsi" w:cstheme="majorHAnsi"/>
          <w:bCs/>
          <w:color w:val="000000" w:themeColor="text1"/>
          <w:sz w:val="22"/>
          <w:szCs w:val="22"/>
        </w:rPr>
        <w:fldChar w:fldCharType="separate"/>
      </w:r>
      <w:r w:rsidR="00E540E4" w:rsidRPr="000C4838">
        <w:rPr>
          <w:rFonts w:asciiTheme="majorHAnsi" w:hAnsiTheme="majorHAnsi" w:cstheme="majorHAnsi"/>
          <w:bCs/>
          <w:noProof/>
          <w:color w:val="000000" w:themeColor="text1"/>
          <w:sz w:val="22"/>
          <w:szCs w:val="22"/>
        </w:rPr>
        <w:t>(2)</w:t>
      </w:r>
      <w:r w:rsidR="00E540E4" w:rsidRPr="000C4838">
        <w:rPr>
          <w:rFonts w:asciiTheme="majorHAnsi" w:hAnsiTheme="majorHAnsi" w:cstheme="majorHAnsi"/>
          <w:bCs/>
          <w:color w:val="000000" w:themeColor="text1"/>
          <w:sz w:val="22"/>
          <w:szCs w:val="22"/>
        </w:rPr>
        <w:fldChar w:fldCharType="end"/>
      </w:r>
      <w:r w:rsidRPr="000C4838">
        <w:rPr>
          <w:rFonts w:asciiTheme="majorHAnsi" w:hAnsiTheme="majorHAnsi" w:cstheme="majorHAnsi"/>
          <w:bCs/>
          <w:color w:val="000000" w:themeColor="text1"/>
          <w:sz w:val="22"/>
          <w:szCs w:val="22"/>
        </w:rPr>
        <w:t>.</w:t>
      </w:r>
    </w:p>
    <w:p w14:paraId="5916EED5" w14:textId="5F3AA87D" w:rsidR="00D50D9D" w:rsidRPr="000C4838" w:rsidRDefault="00D50D9D" w:rsidP="00AF7B28">
      <w:pPr>
        <w:widowControl w:val="0"/>
        <w:autoSpaceDE w:val="0"/>
        <w:autoSpaceDN w:val="0"/>
        <w:adjustRightInd w:val="0"/>
        <w:spacing w:before="100" w:beforeAutospacing="1" w:after="100" w:afterAutospacing="1" w:line="360" w:lineRule="auto"/>
        <w:jc w:val="both"/>
        <w:rPr>
          <w:rFonts w:asciiTheme="majorHAnsi" w:hAnsiTheme="majorHAnsi" w:cstheme="majorHAnsi"/>
          <w:bCs/>
          <w:color w:val="000000" w:themeColor="text1"/>
          <w:sz w:val="22"/>
          <w:szCs w:val="22"/>
        </w:rPr>
      </w:pPr>
      <w:r w:rsidRPr="000C4838">
        <w:rPr>
          <w:rFonts w:asciiTheme="majorHAnsi" w:hAnsiTheme="majorHAnsi" w:cstheme="majorHAnsi"/>
          <w:bCs/>
          <w:color w:val="000000" w:themeColor="text1"/>
          <w:sz w:val="22"/>
          <w:szCs w:val="22"/>
        </w:rPr>
        <w:t xml:space="preserve">Most recommended antimalarial regimens for </w:t>
      </w:r>
      <w:r w:rsidRPr="000C4838">
        <w:rPr>
          <w:rFonts w:asciiTheme="majorHAnsi" w:hAnsiTheme="majorHAnsi" w:cstheme="majorHAnsi"/>
          <w:bCs/>
          <w:i/>
          <w:color w:val="000000" w:themeColor="text1"/>
          <w:sz w:val="22"/>
          <w:szCs w:val="22"/>
        </w:rPr>
        <w:t xml:space="preserve">P. vivax </w:t>
      </w:r>
      <w:r w:rsidRPr="000C4838">
        <w:rPr>
          <w:rFonts w:asciiTheme="majorHAnsi" w:hAnsiTheme="majorHAnsi" w:cstheme="majorHAnsi"/>
          <w:bCs/>
          <w:color w:val="000000" w:themeColor="text1"/>
          <w:sz w:val="22"/>
          <w:szCs w:val="22"/>
        </w:rPr>
        <w:t xml:space="preserve">require a three-day treatment of blood </w:t>
      </w:r>
      <w:proofErr w:type="spellStart"/>
      <w:r w:rsidRPr="000C4838">
        <w:rPr>
          <w:rFonts w:asciiTheme="majorHAnsi" w:hAnsiTheme="majorHAnsi" w:cstheme="majorHAnsi"/>
          <w:bCs/>
          <w:color w:val="000000" w:themeColor="text1"/>
          <w:sz w:val="22"/>
          <w:szCs w:val="22"/>
        </w:rPr>
        <w:t>schizontocidal</w:t>
      </w:r>
      <w:proofErr w:type="spellEnd"/>
      <w:r w:rsidRPr="000C4838">
        <w:rPr>
          <w:rFonts w:asciiTheme="majorHAnsi" w:hAnsiTheme="majorHAnsi" w:cstheme="majorHAnsi"/>
          <w:bCs/>
          <w:color w:val="000000" w:themeColor="text1"/>
          <w:sz w:val="22"/>
          <w:szCs w:val="22"/>
        </w:rPr>
        <w:t xml:space="preserve"> drugs plus a prolonged course of primaquine for </w:t>
      </w:r>
      <w:proofErr w:type="spellStart"/>
      <w:r w:rsidRPr="000C4838">
        <w:rPr>
          <w:rFonts w:asciiTheme="majorHAnsi" w:hAnsiTheme="majorHAnsi" w:cstheme="majorHAnsi"/>
          <w:bCs/>
          <w:color w:val="000000" w:themeColor="text1"/>
          <w:sz w:val="22"/>
          <w:szCs w:val="22"/>
        </w:rPr>
        <w:t>hypnozoitocidal</w:t>
      </w:r>
      <w:proofErr w:type="spellEnd"/>
      <w:r w:rsidRPr="000C4838">
        <w:rPr>
          <w:rFonts w:asciiTheme="majorHAnsi" w:hAnsiTheme="majorHAnsi" w:cstheme="majorHAnsi"/>
          <w:bCs/>
          <w:color w:val="000000" w:themeColor="text1"/>
          <w:sz w:val="22"/>
          <w:szCs w:val="22"/>
        </w:rPr>
        <w:t xml:space="preserve"> treatment. Since the primary aim of most clinical studies is to define or compare the efficacy of antimalarial regimens, treatment is usually supervised, particularly for the acute management of the blood stage infection, when the patient is clinically unwell. However, trials tend to vary in their approach to supervising the prolonged course of primaquine.</w:t>
      </w:r>
      <w:r w:rsidR="0008484B" w:rsidRPr="000C4838">
        <w:rPr>
          <w:rFonts w:asciiTheme="majorHAnsi" w:hAnsiTheme="majorHAnsi" w:cstheme="majorHAnsi"/>
          <w:bCs/>
          <w:color w:val="000000" w:themeColor="text1"/>
          <w:sz w:val="22"/>
          <w:szCs w:val="22"/>
        </w:rPr>
        <w:t xml:space="preserve"> Primaquine must be administered for a 14-day course or 8-weeks for </w:t>
      </w:r>
      <w:r w:rsidR="00E0049B">
        <w:rPr>
          <w:rFonts w:asciiTheme="majorHAnsi" w:hAnsiTheme="majorHAnsi" w:cstheme="majorHAnsi"/>
          <w:bCs/>
          <w:color w:val="000000" w:themeColor="text1"/>
          <w:sz w:val="22"/>
          <w:szCs w:val="22"/>
        </w:rPr>
        <w:t xml:space="preserve">malarial </w:t>
      </w:r>
      <w:r w:rsidR="0008484B" w:rsidRPr="000C4838">
        <w:rPr>
          <w:rFonts w:asciiTheme="majorHAnsi" w:hAnsiTheme="majorHAnsi" w:cstheme="majorHAnsi"/>
          <w:bCs/>
          <w:color w:val="000000" w:themeColor="text1"/>
          <w:sz w:val="22"/>
          <w:szCs w:val="22"/>
        </w:rPr>
        <w:t>individuals to prevent relapses. However, adherence to these regimens is hard to follow and complete for all dosing</w:t>
      </w:r>
      <w:r w:rsidR="007C43EE">
        <w:rPr>
          <w:rFonts w:asciiTheme="majorHAnsi" w:hAnsiTheme="majorHAnsi" w:cstheme="majorHAnsi"/>
          <w:bCs/>
          <w:color w:val="000000" w:themeColor="text1"/>
          <w:sz w:val="22"/>
          <w:szCs w:val="22"/>
        </w:rPr>
        <w:t xml:space="preserve"> episodes</w:t>
      </w:r>
      <w:r w:rsidR="0008484B" w:rsidRPr="000C4838">
        <w:rPr>
          <w:rFonts w:asciiTheme="majorHAnsi" w:hAnsiTheme="majorHAnsi" w:cstheme="majorHAnsi"/>
          <w:bCs/>
          <w:color w:val="000000" w:themeColor="text1"/>
          <w:sz w:val="22"/>
          <w:szCs w:val="22"/>
        </w:rPr>
        <w:t xml:space="preserve">. </w:t>
      </w:r>
    </w:p>
    <w:p w14:paraId="744C376A" w14:textId="40F52268" w:rsidR="008734C8" w:rsidRPr="000C4838" w:rsidRDefault="00194D02" w:rsidP="00F844E4">
      <w:pPr>
        <w:widowControl w:val="0"/>
        <w:autoSpaceDE w:val="0"/>
        <w:autoSpaceDN w:val="0"/>
        <w:adjustRightInd w:val="0"/>
        <w:spacing w:before="100" w:beforeAutospacing="1" w:after="100" w:afterAutospacing="1" w:line="360" w:lineRule="auto"/>
        <w:jc w:val="both"/>
        <w:rPr>
          <w:rFonts w:asciiTheme="majorHAnsi" w:hAnsiTheme="majorHAnsi" w:cstheme="majorHAnsi"/>
          <w:bCs/>
          <w:color w:val="000000" w:themeColor="text1"/>
          <w:sz w:val="22"/>
          <w:szCs w:val="22"/>
        </w:rPr>
      </w:pPr>
      <w:r w:rsidRPr="000C4838">
        <w:rPr>
          <w:rFonts w:asciiTheme="majorHAnsi" w:hAnsiTheme="majorHAnsi" w:cstheme="majorHAnsi"/>
          <w:bCs/>
          <w:color w:val="000000" w:themeColor="text1"/>
          <w:sz w:val="22"/>
          <w:szCs w:val="22"/>
        </w:rPr>
        <w:t xml:space="preserve">The conceptual and methodological concerns related to adherence measuring are </w:t>
      </w:r>
      <w:r w:rsidR="00CF75DA" w:rsidRPr="000C4838">
        <w:rPr>
          <w:rFonts w:asciiTheme="majorHAnsi" w:hAnsiTheme="majorHAnsi" w:cstheme="majorHAnsi"/>
          <w:bCs/>
          <w:color w:val="000000" w:themeColor="text1"/>
          <w:sz w:val="22"/>
          <w:szCs w:val="22"/>
        </w:rPr>
        <w:t>essential</w:t>
      </w:r>
      <w:r w:rsidRPr="000C4838">
        <w:rPr>
          <w:rFonts w:asciiTheme="majorHAnsi" w:hAnsiTheme="majorHAnsi" w:cstheme="majorHAnsi"/>
          <w:bCs/>
          <w:color w:val="000000" w:themeColor="text1"/>
          <w:sz w:val="22"/>
          <w:szCs w:val="22"/>
        </w:rPr>
        <w:t xml:space="preserve"> for future research and global clinical application of antimalarial drugs. </w:t>
      </w:r>
      <w:r w:rsidR="00D50D9D" w:rsidRPr="000C4838">
        <w:rPr>
          <w:rFonts w:asciiTheme="majorHAnsi" w:hAnsiTheme="majorHAnsi" w:cstheme="majorHAnsi"/>
          <w:bCs/>
          <w:color w:val="000000" w:themeColor="text1"/>
          <w:sz w:val="22"/>
          <w:szCs w:val="22"/>
        </w:rPr>
        <w:t xml:space="preserve">Pooled clinical trials of </w:t>
      </w:r>
      <w:r w:rsidR="00D50D9D" w:rsidRPr="000C4838">
        <w:rPr>
          <w:rFonts w:asciiTheme="majorHAnsi" w:hAnsiTheme="majorHAnsi" w:cstheme="majorHAnsi"/>
          <w:bCs/>
          <w:i/>
          <w:iCs/>
          <w:color w:val="000000" w:themeColor="text1"/>
          <w:sz w:val="22"/>
          <w:szCs w:val="22"/>
        </w:rPr>
        <w:t>P. vivax</w:t>
      </w:r>
      <w:r w:rsidR="00D50D9D" w:rsidRPr="000C4838">
        <w:rPr>
          <w:rFonts w:asciiTheme="majorHAnsi" w:hAnsiTheme="majorHAnsi" w:cstheme="majorHAnsi"/>
          <w:bCs/>
          <w:color w:val="000000" w:themeColor="text1"/>
          <w:sz w:val="22"/>
          <w:szCs w:val="22"/>
        </w:rPr>
        <w:t xml:space="preserve"> will enable us to investigate how adherence to these regimens influences treatment efficacy. </w:t>
      </w:r>
      <w:r w:rsidR="00F844E4" w:rsidRPr="000C4838">
        <w:rPr>
          <w:rFonts w:asciiTheme="majorHAnsi" w:hAnsiTheme="majorHAnsi" w:cstheme="majorHAnsi"/>
          <w:bCs/>
          <w:color w:val="000000" w:themeColor="text1"/>
          <w:sz w:val="22"/>
          <w:szCs w:val="22"/>
        </w:rPr>
        <w:t>These findings will be incorporated into within-host malaria mathematical models that link drug concentration profile with drug action within a patient, to investigate the impact of missing doses on parasite clearance and recurrent episodes of malaria.</w:t>
      </w:r>
      <w:r w:rsidR="00712341" w:rsidRPr="000C4838">
        <w:rPr>
          <w:rFonts w:asciiTheme="majorHAnsi" w:hAnsiTheme="majorHAnsi" w:cstheme="majorHAnsi"/>
          <w:bCs/>
          <w:color w:val="000000" w:themeColor="text1"/>
          <w:sz w:val="22"/>
          <w:szCs w:val="22"/>
        </w:rPr>
        <w:t xml:space="preserve"> </w:t>
      </w:r>
      <w:r w:rsidR="006201BF" w:rsidRPr="000C4838">
        <w:rPr>
          <w:rFonts w:asciiTheme="majorHAnsi" w:hAnsiTheme="majorHAnsi" w:cstheme="majorHAnsi"/>
          <w:bCs/>
          <w:color w:val="000000" w:themeColor="text1"/>
          <w:sz w:val="22"/>
          <w:szCs w:val="22"/>
        </w:rPr>
        <w:t>Finding</w:t>
      </w:r>
      <w:r w:rsidR="00712341" w:rsidRPr="000C4838">
        <w:rPr>
          <w:rFonts w:asciiTheme="majorHAnsi" w:hAnsiTheme="majorHAnsi" w:cstheme="majorHAnsi"/>
          <w:bCs/>
          <w:color w:val="000000" w:themeColor="text1"/>
          <w:sz w:val="22"/>
          <w:szCs w:val="22"/>
        </w:rPr>
        <w:t xml:space="preserve"> the </w:t>
      </w:r>
      <w:r w:rsidR="00F466A3" w:rsidRPr="000C4838">
        <w:rPr>
          <w:rFonts w:asciiTheme="majorHAnsi" w:hAnsiTheme="majorHAnsi" w:cstheme="majorHAnsi"/>
          <w:bCs/>
          <w:color w:val="000000" w:themeColor="text1"/>
          <w:sz w:val="22"/>
          <w:szCs w:val="22"/>
        </w:rPr>
        <w:t xml:space="preserve">most effective </w:t>
      </w:r>
      <w:r w:rsidR="00712341" w:rsidRPr="000C4838">
        <w:rPr>
          <w:rFonts w:asciiTheme="majorHAnsi" w:hAnsiTheme="majorHAnsi" w:cstheme="majorHAnsi"/>
          <w:bCs/>
          <w:color w:val="000000" w:themeColor="text1"/>
          <w:sz w:val="22"/>
          <w:szCs w:val="22"/>
        </w:rPr>
        <w:t xml:space="preserve">regimen </w:t>
      </w:r>
      <w:r w:rsidR="00F466A3" w:rsidRPr="000C4838">
        <w:rPr>
          <w:rFonts w:asciiTheme="majorHAnsi" w:hAnsiTheme="majorHAnsi" w:cstheme="majorHAnsi"/>
          <w:bCs/>
          <w:color w:val="000000" w:themeColor="text1"/>
          <w:sz w:val="22"/>
          <w:szCs w:val="22"/>
        </w:rPr>
        <w:t xml:space="preserve">that balances efficacy and </w:t>
      </w:r>
      <w:r w:rsidR="00CD63C6" w:rsidRPr="000C4838">
        <w:rPr>
          <w:rFonts w:asciiTheme="majorHAnsi" w:hAnsiTheme="majorHAnsi" w:cstheme="majorHAnsi"/>
          <w:bCs/>
          <w:color w:val="000000" w:themeColor="text1"/>
          <w:sz w:val="22"/>
          <w:szCs w:val="22"/>
        </w:rPr>
        <w:t xml:space="preserve">a </w:t>
      </w:r>
      <w:r w:rsidR="006201BF" w:rsidRPr="000C4838">
        <w:rPr>
          <w:rFonts w:asciiTheme="majorHAnsi" w:hAnsiTheme="majorHAnsi" w:cstheme="majorHAnsi"/>
          <w:bCs/>
          <w:color w:val="000000" w:themeColor="text1"/>
          <w:sz w:val="22"/>
          <w:szCs w:val="22"/>
        </w:rPr>
        <w:t xml:space="preserve">high level of </w:t>
      </w:r>
      <w:r w:rsidR="00F466A3" w:rsidRPr="000C4838">
        <w:rPr>
          <w:rFonts w:asciiTheme="majorHAnsi" w:hAnsiTheme="majorHAnsi" w:cstheme="majorHAnsi"/>
          <w:bCs/>
          <w:color w:val="000000" w:themeColor="text1"/>
          <w:sz w:val="22"/>
          <w:szCs w:val="22"/>
        </w:rPr>
        <w:t xml:space="preserve">primaquine </w:t>
      </w:r>
      <w:r w:rsidR="006201BF" w:rsidRPr="000C4838">
        <w:rPr>
          <w:rFonts w:asciiTheme="majorHAnsi" w:hAnsiTheme="majorHAnsi" w:cstheme="majorHAnsi"/>
          <w:bCs/>
          <w:color w:val="000000" w:themeColor="text1"/>
          <w:sz w:val="22"/>
          <w:szCs w:val="22"/>
        </w:rPr>
        <w:t xml:space="preserve">adherence </w:t>
      </w:r>
      <w:r w:rsidR="00F466A3" w:rsidRPr="000C4838">
        <w:rPr>
          <w:rFonts w:asciiTheme="majorHAnsi" w:hAnsiTheme="majorHAnsi" w:cstheme="majorHAnsi"/>
          <w:bCs/>
          <w:color w:val="000000" w:themeColor="text1"/>
          <w:sz w:val="22"/>
          <w:szCs w:val="22"/>
        </w:rPr>
        <w:t xml:space="preserve">will assist in the widespread implementation of effective radical cure regimens for </w:t>
      </w:r>
      <w:r w:rsidR="00F466A3" w:rsidRPr="000C4838">
        <w:rPr>
          <w:rFonts w:asciiTheme="majorHAnsi" w:hAnsiTheme="majorHAnsi" w:cstheme="majorHAnsi"/>
          <w:bCs/>
          <w:i/>
          <w:iCs/>
          <w:color w:val="000000" w:themeColor="text1"/>
          <w:sz w:val="22"/>
          <w:szCs w:val="22"/>
        </w:rPr>
        <w:t xml:space="preserve">P. vivax </w:t>
      </w:r>
      <w:r w:rsidR="00F466A3" w:rsidRPr="000C4838">
        <w:rPr>
          <w:rFonts w:asciiTheme="majorHAnsi" w:hAnsiTheme="majorHAnsi" w:cstheme="majorHAnsi"/>
          <w:bCs/>
          <w:color w:val="000000" w:themeColor="text1"/>
          <w:sz w:val="22"/>
          <w:szCs w:val="22"/>
        </w:rPr>
        <w:t>and</w:t>
      </w:r>
      <w:r w:rsidR="00712341" w:rsidRPr="000C4838">
        <w:rPr>
          <w:rFonts w:asciiTheme="majorHAnsi" w:hAnsiTheme="majorHAnsi" w:cstheme="majorHAnsi"/>
          <w:bCs/>
          <w:color w:val="000000" w:themeColor="text1"/>
          <w:sz w:val="22"/>
          <w:szCs w:val="22"/>
        </w:rPr>
        <w:t xml:space="preserve"> </w:t>
      </w:r>
      <w:r w:rsidR="00F466A3" w:rsidRPr="000C4838">
        <w:rPr>
          <w:rFonts w:asciiTheme="majorHAnsi" w:hAnsiTheme="majorHAnsi" w:cstheme="majorHAnsi"/>
          <w:bCs/>
          <w:color w:val="000000" w:themeColor="text1"/>
          <w:sz w:val="22"/>
          <w:szCs w:val="22"/>
        </w:rPr>
        <w:t xml:space="preserve">its </w:t>
      </w:r>
      <w:r w:rsidR="00712341" w:rsidRPr="000C4838">
        <w:rPr>
          <w:rFonts w:asciiTheme="majorHAnsi" w:hAnsiTheme="majorHAnsi" w:cstheme="majorHAnsi"/>
          <w:bCs/>
          <w:color w:val="000000" w:themeColor="text1"/>
          <w:sz w:val="22"/>
          <w:szCs w:val="22"/>
        </w:rPr>
        <w:t>elimination</w:t>
      </w:r>
      <w:r w:rsidR="006201BF" w:rsidRPr="000C4838">
        <w:rPr>
          <w:rFonts w:asciiTheme="majorHAnsi" w:hAnsiTheme="majorHAnsi" w:cstheme="majorHAnsi"/>
          <w:bCs/>
          <w:color w:val="000000" w:themeColor="text1"/>
          <w:sz w:val="22"/>
          <w:szCs w:val="22"/>
        </w:rPr>
        <w:t xml:space="preserve">. </w:t>
      </w:r>
    </w:p>
    <w:p w14:paraId="385EBC05" w14:textId="30219BCB" w:rsidR="00457F3C" w:rsidRPr="003F41FF" w:rsidRDefault="00457F3C" w:rsidP="00AF7B28">
      <w:pPr>
        <w:pStyle w:val="Heading2"/>
        <w:numPr>
          <w:ilvl w:val="1"/>
          <w:numId w:val="29"/>
        </w:numPr>
        <w:spacing w:before="100" w:beforeAutospacing="1" w:after="100" w:afterAutospacing="1" w:line="360" w:lineRule="auto"/>
        <w:rPr>
          <w:rFonts w:asciiTheme="majorHAnsi" w:hAnsiTheme="majorHAnsi"/>
          <w:color w:val="0070C0"/>
          <w:sz w:val="26"/>
          <w:szCs w:val="26"/>
        </w:rPr>
      </w:pPr>
      <w:bookmarkStart w:id="5" w:name="_Toc457660139"/>
      <w:bookmarkStart w:id="6" w:name="_Toc32336006"/>
      <w:r w:rsidRPr="003F41FF">
        <w:rPr>
          <w:rFonts w:asciiTheme="majorHAnsi" w:hAnsiTheme="majorHAnsi"/>
          <w:color w:val="0070C0"/>
          <w:sz w:val="26"/>
          <w:szCs w:val="26"/>
        </w:rPr>
        <w:t>Aim of study</w:t>
      </w:r>
      <w:bookmarkEnd w:id="5"/>
      <w:bookmarkEnd w:id="6"/>
    </w:p>
    <w:p w14:paraId="6B8FA8FA" w14:textId="43259106" w:rsidR="00457F3C" w:rsidRPr="000C4838" w:rsidRDefault="00262784" w:rsidP="00AF7B28">
      <w:pPr>
        <w:widowControl w:val="0"/>
        <w:autoSpaceDE w:val="0"/>
        <w:autoSpaceDN w:val="0"/>
        <w:adjustRightInd w:val="0"/>
        <w:spacing w:before="100" w:beforeAutospacing="1" w:after="100" w:afterAutospacing="1" w:line="360" w:lineRule="auto"/>
        <w:jc w:val="both"/>
        <w:rPr>
          <w:rFonts w:asciiTheme="majorHAnsi" w:hAnsiTheme="majorHAnsi" w:cstheme="majorHAnsi"/>
          <w:bCs/>
          <w:color w:val="000000" w:themeColor="text1"/>
          <w:sz w:val="22"/>
          <w:szCs w:val="22"/>
        </w:rPr>
      </w:pPr>
      <w:r w:rsidRPr="000C4838">
        <w:rPr>
          <w:rFonts w:asciiTheme="majorHAnsi" w:hAnsiTheme="majorHAnsi" w:cstheme="majorHAnsi"/>
          <w:bCs/>
          <w:color w:val="000000" w:themeColor="text1"/>
          <w:sz w:val="22"/>
          <w:szCs w:val="22"/>
        </w:rPr>
        <w:t>Th</w:t>
      </w:r>
      <w:r w:rsidR="005B6659" w:rsidRPr="000C4838">
        <w:rPr>
          <w:rFonts w:asciiTheme="majorHAnsi" w:hAnsiTheme="majorHAnsi" w:cstheme="majorHAnsi"/>
          <w:bCs/>
          <w:color w:val="000000" w:themeColor="text1"/>
          <w:sz w:val="22"/>
          <w:szCs w:val="22"/>
        </w:rPr>
        <w:t xml:space="preserve">is study aims </w:t>
      </w:r>
      <w:r w:rsidR="00457F3C" w:rsidRPr="000C4838">
        <w:rPr>
          <w:rFonts w:asciiTheme="majorHAnsi" w:hAnsiTheme="majorHAnsi" w:cstheme="majorHAnsi"/>
          <w:bCs/>
          <w:color w:val="000000" w:themeColor="text1"/>
          <w:sz w:val="22"/>
          <w:szCs w:val="22"/>
        </w:rPr>
        <w:t xml:space="preserve">to assess the </w:t>
      </w:r>
      <w:r w:rsidR="006364B7" w:rsidRPr="000C4838">
        <w:rPr>
          <w:rFonts w:asciiTheme="majorHAnsi" w:hAnsiTheme="majorHAnsi" w:cstheme="majorHAnsi"/>
          <w:bCs/>
          <w:color w:val="000000" w:themeColor="text1"/>
          <w:sz w:val="22"/>
          <w:szCs w:val="22"/>
        </w:rPr>
        <w:t xml:space="preserve">effect of imperfect adherence </w:t>
      </w:r>
      <w:r w:rsidR="006A3089" w:rsidRPr="000C4838">
        <w:rPr>
          <w:rFonts w:asciiTheme="majorHAnsi" w:hAnsiTheme="majorHAnsi" w:cstheme="majorHAnsi"/>
          <w:bCs/>
          <w:color w:val="000000" w:themeColor="text1"/>
          <w:sz w:val="22"/>
          <w:szCs w:val="22"/>
        </w:rPr>
        <w:t xml:space="preserve">to primaquine </w:t>
      </w:r>
      <w:r w:rsidR="006364B7" w:rsidRPr="000C4838">
        <w:rPr>
          <w:rFonts w:asciiTheme="majorHAnsi" w:hAnsiTheme="majorHAnsi" w:cstheme="majorHAnsi"/>
          <w:bCs/>
          <w:color w:val="000000" w:themeColor="text1"/>
          <w:sz w:val="22"/>
          <w:szCs w:val="22"/>
        </w:rPr>
        <w:t xml:space="preserve">on </w:t>
      </w:r>
      <w:r w:rsidR="00F466A3" w:rsidRPr="00773A27">
        <w:rPr>
          <w:rFonts w:asciiTheme="majorHAnsi" w:hAnsiTheme="majorHAnsi" w:cstheme="majorHAnsi"/>
          <w:bCs/>
          <w:i/>
          <w:color w:val="000000" w:themeColor="text1"/>
          <w:sz w:val="22"/>
          <w:szCs w:val="22"/>
        </w:rPr>
        <w:t xml:space="preserve">P. </w:t>
      </w:r>
      <w:r w:rsidR="00457F3C" w:rsidRPr="00773A27">
        <w:rPr>
          <w:rFonts w:asciiTheme="majorHAnsi" w:hAnsiTheme="majorHAnsi" w:cstheme="majorHAnsi"/>
          <w:bCs/>
          <w:i/>
          <w:color w:val="000000" w:themeColor="text1"/>
          <w:sz w:val="22"/>
          <w:szCs w:val="22"/>
        </w:rPr>
        <w:t>vivax</w:t>
      </w:r>
      <w:r w:rsidR="00457F3C" w:rsidRPr="000C4838">
        <w:rPr>
          <w:rFonts w:asciiTheme="majorHAnsi" w:hAnsiTheme="majorHAnsi" w:cstheme="majorHAnsi"/>
          <w:bCs/>
          <w:color w:val="000000" w:themeColor="text1"/>
          <w:sz w:val="22"/>
          <w:szCs w:val="22"/>
        </w:rPr>
        <w:t xml:space="preserve"> </w:t>
      </w:r>
      <w:r w:rsidR="001A67CE" w:rsidRPr="000C4838">
        <w:rPr>
          <w:rFonts w:asciiTheme="majorHAnsi" w:hAnsiTheme="majorHAnsi" w:cstheme="majorHAnsi"/>
          <w:bCs/>
          <w:color w:val="000000" w:themeColor="text1"/>
          <w:sz w:val="22"/>
          <w:szCs w:val="22"/>
        </w:rPr>
        <w:t>efficacy</w:t>
      </w:r>
      <w:r w:rsidR="00C5633C" w:rsidRPr="000C4838">
        <w:rPr>
          <w:rFonts w:asciiTheme="majorHAnsi" w:hAnsiTheme="majorHAnsi" w:cstheme="majorHAnsi"/>
          <w:bCs/>
          <w:color w:val="000000" w:themeColor="text1"/>
          <w:sz w:val="22"/>
          <w:szCs w:val="22"/>
        </w:rPr>
        <w:t xml:space="preserve"> </w:t>
      </w:r>
      <w:r w:rsidR="00E540E4" w:rsidRPr="000C4838">
        <w:rPr>
          <w:rFonts w:asciiTheme="majorHAnsi" w:hAnsiTheme="majorHAnsi" w:cstheme="majorHAnsi"/>
          <w:bCs/>
          <w:color w:val="000000" w:themeColor="text1"/>
          <w:sz w:val="22"/>
          <w:szCs w:val="22"/>
        </w:rPr>
        <w:t>and</w:t>
      </w:r>
      <w:r w:rsidR="00115F62" w:rsidRPr="000C4838">
        <w:rPr>
          <w:rFonts w:asciiTheme="majorHAnsi" w:hAnsiTheme="majorHAnsi" w:cstheme="majorHAnsi"/>
          <w:bCs/>
          <w:color w:val="000000" w:themeColor="text1"/>
          <w:sz w:val="22"/>
          <w:szCs w:val="22"/>
        </w:rPr>
        <w:t xml:space="preserve"> define the key factors which contribute to categori</w:t>
      </w:r>
      <w:r w:rsidR="00F466A3" w:rsidRPr="000C4838">
        <w:rPr>
          <w:rFonts w:asciiTheme="majorHAnsi" w:hAnsiTheme="majorHAnsi" w:cstheme="majorHAnsi"/>
          <w:bCs/>
          <w:color w:val="000000" w:themeColor="text1"/>
          <w:sz w:val="22"/>
          <w:szCs w:val="22"/>
        </w:rPr>
        <w:t>s</w:t>
      </w:r>
      <w:r w:rsidR="00115F62" w:rsidRPr="000C4838">
        <w:rPr>
          <w:rFonts w:asciiTheme="majorHAnsi" w:hAnsiTheme="majorHAnsi" w:cstheme="majorHAnsi"/>
          <w:bCs/>
          <w:color w:val="000000" w:themeColor="text1"/>
          <w:sz w:val="22"/>
          <w:szCs w:val="22"/>
        </w:rPr>
        <w:t>ing adherence levels</w:t>
      </w:r>
      <w:r w:rsidR="001A67CE" w:rsidRPr="000C4838">
        <w:rPr>
          <w:rFonts w:asciiTheme="majorHAnsi" w:hAnsiTheme="majorHAnsi" w:cstheme="majorHAnsi"/>
          <w:bCs/>
          <w:color w:val="000000" w:themeColor="text1"/>
          <w:sz w:val="22"/>
          <w:szCs w:val="22"/>
        </w:rPr>
        <w:t xml:space="preserve">. </w:t>
      </w:r>
    </w:p>
    <w:p w14:paraId="0CEADF63" w14:textId="75C8EF9D" w:rsidR="00221D5F" w:rsidRDefault="00AE7BCB" w:rsidP="00AF7B28">
      <w:pPr>
        <w:pStyle w:val="Heading2"/>
        <w:numPr>
          <w:ilvl w:val="1"/>
          <w:numId w:val="29"/>
        </w:numPr>
        <w:spacing w:before="100" w:beforeAutospacing="1" w:after="100" w:afterAutospacing="1" w:line="360" w:lineRule="auto"/>
        <w:rPr>
          <w:rFonts w:asciiTheme="majorHAnsi" w:hAnsiTheme="majorHAnsi"/>
          <w:color w:val="0070C0"/>
          <w:sz w:val="26"/>
          <w:szCs w:val="26"/>
        </w:rPr>
      </w:pPr>
      <w:bookmarkStart w:id="7" w:name="_Toc32336007"/>
      <w:r w:rsidRPr="00AE7BCB">
        <w:rPr>
          <w:rFonts w:asciiTheme="majorHAnsi" w:hAnsiTheme="majorHAnsi"/>
          <w:color w:val="0070C0"/>
          <w:sz w:val="26"/>
          <w:szCs w:val="26"/>
        </w:rPr>
        <w:lastRenderedPageBreak/>
        <w:t>Search strategy and selection criteria</w:t>
      </w:r>
      <w:r>
        <w:rPr>
          <w:rFonts w:asciiTheme="majorHAnsi" w:hAnsiTheme="majorHAnsi"/>
          <w:color w:val="0070C0"/>
          <w:sz w:val="26"/>
          <w:szCs w:val="26"/>
        </w:rPr>
        <w:t xml:space="preserve"> in </w:t>
      </w:r>
      <w:r w:rsidR="00E17857">
        <w:rPr>
          <w:rFonts w:asciiTheme="majorHAnsi" w:hAnsiTheme="majorHAnsi"/>
          <w:color w:val="0070C0"/>
          <w:sz w:val="26"/>
          <w:szCs w:val="26"/>
        </w:rPr>
        <w:t xml:space="preserve">the </w:t>
      </w:r>
      <w:r>
        <w:rPr>
          <w:rFonts w:asciiTheme="majorHAnsi" w:hAnsiTheme="majorHAnsi"/>
          <w:color w:val="0070C0"/>
          <w:sz w:val="26"/>
          <w:szCs w:val="26"/>
        </w:rPr>
        <w:t>pooled analysis</w:t>
      </w:r>
      <w:bookmarkEnd w:id="7"/>
    </w:p>
    <w:p w14:paraId="4545B9EE" w14:textId="4D79684F" w:rsidR="00AE7BCB" w:rsidRPr="000C4838" w:rsidRDefault="00A945BB" w:rsidP="00373832">
      <w:pPr>
        <w:spacing w:line="360" w:lineRule="auto"/>
        <w:ind w:left="284"/>
        <w:jc w:val="both"/>
        <w:rPr>
          <w:rFonts w:asciiTheme="majorHAnsi" w:hAnsiTheme="majorHAnsi" w:cstheme="majorHAnsi"/>
          <w:bCs/>
          <w:color w:val="000000" w:themeColor="text1"/>
          <w:sz w:val="22"/>
          <w:szCs w:val="22"/>
        </w:rPr>
      </w:pPr>
      <w:r w:rsidRPr="000C4838">
        <w:rPr>
          <w:rFonts w:asciiTheme="majorHAnsi" w:hAnsiTheme="majorHAnsi" w:cstheme="majorHAnsi"/>
          <w:bCs/>
          <w:color w:val="000000" w:themeColor="text1"/>
          <w:sz w:val="22"/>
          <w:szCs w:val="22"/>
        </w:rPr>
        <w:t xml:space="preserve">In order to collect data, we </w:t>
      </w:r>
      <w:r w:rsidR="004D1406">
        <w:rPr>
          <w:rFonts w:asciiTheme="majorHAnsi" w:hAnsiTheme="majorHAnsi" w:cstheme="majorHAnsi"/>
          <w:bCs/>
          <w:color w:val="000000" w:themeColor="text1"/>
          <w:sz w:val="22"/>
          <w:szCs w:val="22"/>
        </w:rPr>
        <w:t xml:space="preserve">will </w:t>
      </w:r>
      <w:r w:rsidR="008B40E5">
        <w:rPr>
          <w:rFonts w:asciiTheme="majorHAnsi" w:hAnsiTheme="majorHAnsi" w:cstheme="majorHAnsi"/>
          <w:bCs/>
          <w:color w:val="000000" w:themeColor="text1"/>
          <w:sz w:val="22"/>
          <w:szCs w:val="22"/>
        </w:rPr>
        <w:t>do</w:t>
      </w:r>
      <w:r w:rsidRPr="000C4838">
        <w:rPr>
          <w:rFonts w:asciiTheme="majorHAnsi" w:hAnsiTheme="majorHAnsi" w:cstheme="majorHAnsi"/>
          <w:bCs/>
          <w:color w:val="000000" w:themeColor="text1"/>
          <w:sz w:val="22"/>
          <w:szCs w:val="22"/>
        </w:rPr>
        <w:t xml:space="preserve"> a comprehensive systematic review </w:t>
      </w:r>
      <w:r w:rsidR="00E17857" w:rsidRPr="000C4838">
        <w:rPr>
          <w:rFonts w:asciiTheme="majorHAnsi" w:hAnsiTheme="majorHAnsi" w:cstheme="majorHAnsi"/>
          <w:bCs/>
          <w:color w:val="000000" w:themeColor="text1"/>
          <w:sz w:val="22"/>
          <w:szCs w:val="22"/>
        </w:rPr>
        <w:t>of</w:t>
      </w:r>
      <w:r w:rsidRPr="000C4838">
        <w:rPr>
          <w:rFonts w:asciiTheme="majorHAnsi" w:hAnsiTheme="majorHAnsi" w:cstheme="majorHAnsi"/>
          <w:bCs/>
          <w:color w:val="000000" w:themeColor="text1"/>
          <w:sz w:val="22"/>
          <w:szCs w:val="22"/>
        </w:rPr>
        <w:t xml:space="preserve"> all the prospective </w:t>
      </w:r>
      <w:r w:rsidRPr="00773A27">
        <w:rPr>
          <w:rFonts w:asciiTheme="majorHAnsi" w:hAnsiTheme="majorHAnsi" w:cstheme="majorHAnsi"/>
          <w:bCs/>
          <w:i/>
          <w:color w:val="000000" w:themeColor="text1"/>
          <w:sz w:val="22"/>
          <w:szCs w:val="22"/>
        </w:rPr>
        <w:t>P.</w:t>
      </w:r>
      <w:r w:rsidR="00916E62" w:rsidRPr="00773A27">
        <w:rPr>
          <w:rFonts w:asciiTheme="majorHAnsi" w:hAnsiTheme="majorHAnsi" w:cstheme="majorHAnsi"/>
          <w:bCs/>
          <w:i/>
          <w:color w:val="000000" w:themeColor="text1"/>
          <w:sz w:val="22"/>
          <w:szCs w:val="22"/>
        </w:rPr>
        <w:t xml:space="preserve"> </w:t>
      </w:r>
      <w:r w:rsidRPr="00773A27">
        <w:rPr>
          <w:rFonts w:asciiTheme="majorHAnsi" w:hAnsiTheme="majorHAnsi" w:cstheme="majorHAnsi"/>
          <w:bCs/>
          <w:i/>
          <w:color w:val="000000" w:themeColor="text1"/>
          <w:sz w:val="22"/>
          <w:szCs w:val="22"/>
        </w:rPr>
        <w:t>vivax</w:t>
      </w:r>
      <w:r w:rsidRPr="000C4838">
        <w:rPr>
          <w:rFonts w:asciiTheme="majorHAnsi" w:hAnsiTheme="majorHAnsi" w:cstheme="majorHAnsi"/>
          <w:bCs/>
          <w:color w:val="000000" w:themeColor="text1"/>
          <w:sz w:val="22"/>
          <w:szCs w:val="22"/>
        </w:rPr>
        <w:t xml:space="preserve"> clinical </w:t>
      </w:r>
      <w:r w:rsidR="00F466A3" w:rsidRPr="000C4838">
        <w:rPr>
          <w:rFonts w:asciiTheme="majorHAnsi" w:hAnsiTheme="majorHAnsi" w:cstheme="majorHAnsi"/>
          <w:bCs/>
          <w:color w:val="000000" w:themeColor="text1"/>
          <w:sz w:val="22"/>
          <w:szCs w:val="22"/>
        </w:rPr>
        <w:t>efficacy studies</w:t>
      </w:r>
      <w:r w:rsidRPr="000C4838">
        <w:rPr>
          <w:rFonts w:asciiTheme="majorHAnsi" w:hAnsiTheme="majorHAnsi" w:cstheme="majorHAnsi"/>
          <w:bCs/>
          <w:color w:val="000000" w:themeColor="text1"/>
          <w:sz w:val="22"/>
          <w:szCs w:val="22"/>
        </w:rPr>
        <w:t xml:space="preserve">. </w:t>
      </w:r>
      <w:r w:rsidR="00A73CA5" w:rsidRPr="000C4838">
        <w:rPr>
          <w:rFonts w:asciiTheme="majorHAnsi" w:hAnsiTheme="majorHAnsi" w:cstheme="majorHAnsi"/>
          <w:bCs/>
          <w:color w:val="000000" w:themeColor="text1"/>
          <w:sz w:val="22"/>
          <w:szCs w:val="22"/>
        </w:rPr>
        <w:t xml:space="preserve">We </w:t>
      </w:r>
      <w:r w:rsidR="008178AE">
        <w:rPr>
          <w:rFonts w:asciiTheme="majorHAnsi" w:hAnsiTheme="majorHAnsi" w:cstheme="majorHAnsi"/>
          <w:bCs/>
          <w:color w:val="000000" w:themeColor="text1"/>
          <w:sz w:val="22"/>
          <w:szCs w:val="22"/>
        </w:rPr>
        <w:t xml:space="preserve">will </w:t>
      </w:r>
      <w:r w:rsidR="00A73CA5" w:rsidRPr="000C4838">
        <w:rPr>
          <w:rFonts w:asciiTheme="majorHAnsi" w:hAnsiTheme="majorHAnsi" w:cstheme="majorHAnsi"/>
          <w:bCs/>
          <w:color w:val="000000" w:themeColor="text1"/>
          <w:sz w:val="22"/>
          <w:szCs w:val="22"/>
        </w:rPr>
        <w:t>search MEDLINE, Web of Science, Embase, and Cochrane Database of Systematic Reviews, according to the Preferred Reporting Items for Systematic Reviews and Meta-Analyses statement from Jan 1</w:t>
      </w:r>
      <w:r w:rsidR="00001335" w:rsidRPr="000C4838">
        <w:rPr>
          <w:rFonts w:asciiTheme="majorHAnsi" w:hAnsiTheme="majorHAnsi" w:cstheme="majorHAnsi"/>
          <w:bCs/>
          <w:color w:val="000000" w:themeColor="text1"/>
          <w:sz w:val="22"/>
          <w:szCs w:val="22"/>
        </w:rPr>
        <w:t>,</w:t>
      </w:r>
      <w:r w:rsidR="00A73CA5" w:rsidRPr="000C4838">
        <w:rPr>
          <w:rFonts w:asciiTheme="majorHAnsi" w:hAnsiTheme="majorHAnsi" w:cstheme="majorHAnsi"/>
          <w:bCs/>
          <w:color w:val="000000" w:themeColor="text1"/>
          <w:sz w:val="22"/>
          <w:szCs w:val="22"/>
        </w:rPr>
        <w:t xml:space="preserve"> 1999</w:t>
      </w:r>
      <w:r w:rsidR="00E17857" w:rsidRPr="000C4838">
        <w:rPr>
          <w:rFonts w:asciiTheme="majorHAnsi" w:hAnsiTheme="majorHAnsi" w:cstheme="majorHAnsi"/>
          <w:bCs/>
          <w:color w:val="000000" w:themeColor="text1"/>
          <w:sz w:val="22"/>
          <w:szCs w:val="22"/>
        </w:rPr>
        <w:t>,</w:t>
      </w:r>
      <w:r w:rsidR="00A73CA5" w:rsidRPr="000C4838">
        <w:rPr>
          <w:rFonts w:asciiTheme="majorHAnsi" w:hAnsiTheme="majorHAnsi" w:cstheme="majorHAnsi"/>
          <w:bCs/>
          <w:color w:val="000000" w:themeColor="text1"/>
          <w:sz w:val="22"/>
          <w:szCs w:val="22"/>
        </w:rPr>
        <w:t xml:space="preserve"> to </w:t>
      </w:r>
      <w:r w:rsidR="00F94679" w:rsidRPr="000C4838">
        <w:rPr>
          <w:rFonts w:asciiTheme="majorHAnsi" w:hAnsiTheme="majorHAnsi" w:cstheme="majorHAnsi"/>
          <w:bCs/>
          <w:color w:val="000000" w:themeColor="text1"/>
          <w:sz w:val="22"/>
          <w:szCs w:val="22"/>
        </w:rPr>
        <w:t>Dec 31, 2019</w:t>
      </w:r>
      <w:r w:rsidR="00E17857" w:rsidRPr="000C4838">
        <w:rPr>
          <w:rFonts w:asciiTheme="majorHAnsi" w:hAnsiTheme="majorHAnsi" w:cstheme="majorHAnsi"/>
          <w:bCs/>
          <w:color w:val="000000" w:themeColor="text1"/>
          <w:sz w:val="22"/>
          <w:szCs w:val="22"/>
        </w:rPr>
        <w:t>,</w:t>
      </w:r>
      <w:r w:rsidR="000D5382" w:rsidRPr="000C4838">
        <w:rPr>
          <w:rFonts w:asciiTheme="majorHAnsi" w:hAnsiTheme="majorHAnsi" w:cstheme="majorHAnsi"/>
          <w:bCs/>
          <w:color w:val="000000" w:themeColor="text1"/>
          <w:sz w:val="22"/>
          <w:szCs w:val="22"/>
        </w:rPr>
        <w:t xml:space="preserve"> in any language</w:t>
      </w:r>
      <w:r w:rsidR="00001335" w:rsidRPr="000C4838">
        <w:rPr>
          <w:rFonts w:asciiTheme="majorHAnsi" w:hAnsiTheme="majorHAnsi" w:cstheme="majorHAnsi"/>
          <w:bCs/>
          <w:color w:val="000000" w:themeColor="text1"/>
          <w:sz w:val="22"/>
          <w:szCs w:val="22"/>
        </w:rPr>
        <w:t xml:space="preserve">. </w:t>
      </w:r>
      <w:r w:rsidR="005D128B">
        <w:rPr>
          <w:rFonts w:asciiTheme="majorHAnsi" w:hAnsiTheme="majorHAnsi" w:cstheme="majorHAnsi"/>
          <w:bCs/>
          <w:color w:val="000000" w:themeColor="text1"/>
          <w:sz w:val="22"/>
          <w:szCs w:val="22"/>
        </w:rPr>
        <w:t>In the analysis, we will include p</w:t>
      </w:r>
      <w:r w:rsidR="00C509F3" w:rsidRPr="00C509F3">
        <w:rPr>
          <w:rFonts w:asciiTheme="majorHAnsi" w:hAnsiTheme="majorHAnsi" w:cstheme="majorHAnsi"/>
          <w:bCs/>
          <w:color w:val="000000" w:themeColor="text1"/>
          <w:sz w:val="22"/>
          <w:szCs w:val="22"/>
        </w:rPr>
        <w:t xml:space="preserve">rospective therapeutic efficacy trials including randomised and non-randomised therapeutic trials and prospective cohort studies with active follow-up where the number of recurrent </w:t>
      </w:r>
      <w:r w:rsidR="00C509F3" w:rsidRPr="00C509F3">
        <w:rPr>
          <w:rFonts w:asciiTheme="majorHAnsi" w:hAnsiTheme="majorHAnsi" w:cstheme="majorHAnsi"/>
          <w:bCs/>
          <w:i/>
          <w:iCs/>
          <w:color w:val="000000" w:themeColor="text1"/>
          <w:sz w:val="22"/>
          <w:szCs w:val="22"/>
        </w:rPr>
        <w:t>P. vivax</w:t>
      </w:r>
      <w:r w:rsidR="00C509F3" w:rsidRPr="00C509F3">
        <w:rPr>
          <w:rFonts w:asciiTheme="majorHAnsi" w:hAnsiTheme="majorHAnsi" w:cstheme="majorHAnsi"/>
          <w:bCs/>
          <w:color w:val="000000" w:themeColor="text1"/>
          <w:sz w:val="22"/>
          <w:szCs w:val="22"/>
        </w:rPr>
        <w:t xml:space="preserve"> episodes is recorded during follow-u</w:t>
      </w:r>
      <w:r w:rsidR="007D0A74">
        <w:rPr>
          <w:rFonts w:asciiTheme="majorHAnsi" w:hAnsiTheme="majorHAnsi" w:cstheme="majorHAnsi"/>
          <w:bCs/>
          <w:color w:val="000000" w:themeColor="text1"/>
          <w:sz w:val="22"/>
          <w:szCs w:val="22"/>
        </w:rPr>
        <w:t xml:space="preserve">p. </w:t>
      </w:r>
    </w:p>
    <w:p w14:paraId="51704280" w14:textId="2E3AECA0" w:rsidR="00457F3C" w:rsidRPr="00001873" w:rsidRDefault="00457F3C" w:rsidP="00AF7B28">
      <w:pPr>
        <w:pStyle w:val="Heading2"/>
        <w:keepLines/>
        <w:numPr>
          <w:ilvl w:val="2"/>
          <w:numId w:val="29"/>
        </w:numPr>
        <w:spacing w:before="100" w:beforeAutospacing="1" w:after="100" w:afterAutospacing="1" w:line="360" w:lineRule="auto"/>
        <w:jc w:val="both"/>
        <w:rPr>
          <w:rStyle w:val="Strong"/>
          <w:rFonts w:asciiTheme="majorHAnsi" w:eastAsiaTheme="minorHAnsi" w:hAnsiTheme="majorHAnsi" w:cstheme="majorHAnsi"/>
          <w:b/>
          <w:bCs/>
          <w:i w:val="0"/>
          <w:iCs w:val="0"/>
          <w:color w:val="000000" w:themeColor="text1"/>
          <w:szCs w:val="22"/>
        </w:rPr>
      </w:pPr>
      <w:bookmarkStart w:id="8" w:name="_Toc457660141"/>
      <w:bookmarkStart w:id="9" w:name="_Toc32336008"/>
      <w:r w:rsidRPr="00001873">
        <w:rPr>
          <w:rStyle w:val="Strong"/>
          <w:rFonts w:asciiTheme="majorHAnsi" w:hAnsiTheme="majorHAnsi" w:cstheme="majorHAnsi"/>
          <w:b/>
          <w:i w:val="0"/>
          <w:iCs w:val="0"/>
          <w:color w:val="000000" w:themeColor="text1"/>
          <w:szCs w:val="22"/>
        </w:rPr>
        <w:t>Essential inclusion criteria</w:t>
      </w:r>
      <w:bookmarkEnd w:id="8"/>
      <w:bookmarkEnd w:id="9"/>
      <w:r w:rsidRPr="00001873">
        <w:rPr>
          <w:rStyle w:val="Strong"/>
          <w:rFonts w:asciiTheme="majorHAnsi" w:hAnsiTheme="majorHAnsi" w:cstheme="majorHAnsi"/>
          <w:b/>
          <w:i w:val="0"/>
          <w:iCs w:val="0"/>
          <w:color w:val="000000" w:themeColor="text1"/>
          <w:szCs w:val="22"/>
        </w:rPr>
        <w:t xml:space="preserve"> </w:t>
      </w:r>
    </w:p>
    <w:p w14:paraId="6FDFD997" w14:textId="08BD8CB0" w:rsidR="00B21853" w:rsidRPr="000C4838" w:rsidRDefault="006A3089" w:rsidP="00AF7B28">
      <w:pPr>
        <w:widowControl w:val="0"/>
        <w:numPr>
          <w:ilvl w:val="0"/>
          <w:numId w:val="19"/>
        </w:numPr>
        <w:tabs>
          <w:tab w:val="left" w:pos="220"/>
          <w:tab w:val="left" w:pos="720"/>
        </w:tabs>
        <w:autoSpaceDE w:val="0"/>
        <w:autoSpaceDN w:val="0"/>
        <w:adjustRightInd w:val="0"/>
        <w:spacing w:before="100" w:beforeAutospacing="1" w:after="100" w:afterAutospacing="1" w:line="360" w:lineRule="auto"/>
        <w:rPr>
          <w:rFonts w:asciiTheme="majorHAnsi" w:hAnsiTheme="majorHAnsi" w:cstheme="majorHAnsi"/>
          <w:b/>
          <w:bCs/>
          <w:color w:val="000000" w:themeColor="text1"/>
          <w:sz w:val="22"/>
          <w:szCs w:val="22"/>
        </w:rPr>
      </w:pPr>
      <w:bookmarkStart w:id="10" w:name="_Toc457660142"/>
      <w:r w:rsidRPr="000C4838">
        <w:rPr>
          <w:rFonts w:asciiTheme="majorHAnsi" w:hAnsiTheme="majorHAnsi" w:cstheme="majorHAnsi"/>
          <w:color w:val="000000" w:themeColor="text1"/>
          <w:sz w:val="22"/>
          <w:szCs w:val="22"/>
        </w:rPr>
        <w:t xml:space="preserve">Prospective clinical efficacy studies of uncomplicated </w:t>
      </w:r>
      <w:r w:rsidRPr="00773A27">
        <w:rPr>
          <w:rFonts w:asciiTheme="majorHAnsi" w:hAnsiTheme="majorHAnsi" w:cstheme="majorHAnsi"/>
          <w:iCs/>
          <w:color w:val="000000" w:themeColor="text1"/>
          <w:sz w:val="22"/>
          <w:szCs w:val="22"/>
        </w:rPr>
        <w:t>vivax</w:t>
      </w:r>
      <w:r w:rsidRPr="002A3BE2">
        <w:rPr>
          <w:rFonts w:asciiTheme="majorHAnsi" w:hAnsiTheme="majorHAnsi" w:cstheme="majorHAnsi"/>
          <w:color w:val="000000" w:themeColor="text1"/>
          <w:sz w:val="22"/>
          <w:szCs w:val="22"/>
        </w:rPr>
        <w:t xml:space="preserve"> </w:t>
      </w:r>
      <w:r w:rsidRPr="000C4838">
        <w:rPr>
          <w:rFonts w:asciiTheme="majorHAnsi" w:hAnsiTheme="majorHAnsi" w:cstheme="majorHAnsi"/>
          <w:color w:val="000000" w:themeColor="text1"/>
          <w:sz w:val="22"/>
          <w:szCs w:val="22"/>
        </w:rPr>
        <w:t>malaria</w:t>
      </w:r>
      <w:r w:rsidR="00EF1E66" w:rsidRPr="000C4838">
        <w:rPr>
          <w:rFonts w:asciiTheme="majorHAnsi" w:hAnsiTheme="majorHAnsi" w:cstheme="majorHAnsi"/>
          <w:color w:val="000000" w:themeColor="text1"/>
          <w:sz w:val="22"/>
          <w:szCs w:val="22"/>
        </w:rPr>
        <w:t>:</w:t>
      </w:r>
    </w:p>
    <w:p w14:paraId="52A8E5D9" w14:textId="30D95DE8" w:rsidR="006A3089" w:rsidRPr="000C4838" w:rsidRDefault="00EF1E66" w:rsidP="00AF7B28">
      <w:pPr>
        <w:widowControl w:val="0"/>
        <w:numPr>
          <w:ilvl w:val="1"/>
          <w:numId w:val="19"/>
        </w:numPr>
        <w:tabs>
          <w:tab w:val="left" w:pos="220"/>
          <w:tab w:val="left" w:pos="720"/>
        </w:tabs>
        <w:autoSpaceDE w:val="0"/>
        <w:autoSpaceDN w:val="0"/>
        <w:adjustRightInd w:val="0"/>
        <w:spacing w:before="100" w:beforeAutospacing="1" w:after="100" w:afterAutospacing="1" w:line="360" w:lineRule="auto"/>
        <w:rPr>
          <w:rFonts w:asciiTheme="majorHAnsi" w:hAnsiTheme="majorHAnsi" w:cstheme="majorHAnsi"/>
          <w:b/>
          <w:bCs/>
          <w:color w:val="000000" w:themeColor="text1"/>
          <w:sz w:val="22"/>
          <w:szCs w:val="22"/>
        </w:rPr>
      </w:pPr>
      <w:r w:rsidRPr="000C4838">
        <w:rPr>
          <w:rFonts w:asciiTheme="majorHAnsi" w:hAnsiTheme="majorHAnsi" w:cstheme="majorHAnsi"/>
          <w:color w:val="000000" w:themeColor="text1"/>
          <w:sz w:val="22"/>
          <w:szCs w:val="22"/>
        </w:rPr>
        <w:t>W</w:t>
      </w:r>
      <w:r w:rsidR="006A3089" w:rsidRPr="000C4838">
        <w:rPr>
          <w:rFonts w:asciiTheme="majorHAnsi" w:hAnsiTheme="majorHAnsi" w:cstheme="majorHAnsi"/>
          <w:color w:val="000000" w:themeColor="text1"/>
          <w:sz w:val="22"/>
          <w:szCs w:val="22"/>
        </w:rPr>
        <w:t xml:space="preserve">ith a minimum </w:t>
      </w:r>
      <w:r w:rsidR="0019563D" w:rsidRPr="000C4838">
        <w:rPr>
          <w:rFonts w:asciiTheme="majorHAnsi" w:hAnsiTheme="majorHAnsi" w:cstheme="majorHAnsi"/>
          <w:color w:val="000000" w:themeColor="text1"/>
          <w:sz w:val="22"/>
          <w:szCs w:val="22"/>
        </w:rPr>
        <w:t xml:space="preserve">of </w:t>
      </w:r>
      <w:r w:rsidR="006A3089" w:rsidRPr="000C4838">
        <w:rPr>
          <w:rFonts w:asciiTheme="majorHAnsi" w:hAnsiTheme="majorHAnsi" w:cstheme="majorHAnsi"/>
          <w:color w:val="000000" w:themeColor="text1"/>
          <w:sz w:val="22"/>
          <w:szCs w:val="22"/>
        </w:rPr>
        <w:t>28 days follow up</w:t>
      </w:r>
    </w:p>
    <w:p w14:paraId="34869916" w14:textId="3D39AB4F" w:rsidR="006A3089" w:rsidRPr="000C4838" w:rsidRDefault="00B21853" w:rsidP="00AF7B28">
      <w:pPr>
        <w:pStyle w:val="ListParagraph"/>
        <w:widowControl w:val="0"/>
        <w:numPr>
          <w:ilvl w:val="1"/>
          <w:numId w:val="19"/>
        </w:numPr>
        <w:tabs>
          <w:tab w:val="left" w:pos="940"/>
          <w:tab w:val="left" w:pos="1440"/>
        </w:tabs>
        <w:autoSpaceDE w:val="0"/>
        <w:autoSpaceDN w:val="0"/>
        <w:adjustRightInd w:val="0"/>
        <w:spacing w:before="100" w:beforeAutospacing="1" w:after="100" w:afterAutospacing="1" w:line="360" w:lineRule="auto"/>
        <w:rPr>
          <w:rFonts w:asciiTheme="majorHAnsi" w:hAnsiTheme="majorHAnsi" w:cstheme="majorHAnsi"/>
          <w:color w:val="000000" w:themeColor="text1"/>
          <w:lang w:val="en-US"/>
        </w:rPr>
      </w:pPr>
      <w:r w:rsidRPr="000C4838">
        <w:rPr>
          <w:rFonts w:asciiTheme="majorHAnsi" w:hAnsiTheme="majorHAnsi" w:cstheme="majorHAnsi"/>
          <w:color w:val="000000" w:themeColor="text1"/>
          <w:lang w:val="en-US"/>
        </w:rPr>
        <w:t>Daily</w:t>
      </w:r>
      <w:r w:rsidR="006A3089" w:rsidRPr="000C4838">
        <w:rPr>
          <w:rFonts w:asciiTheme="majorHAnsi" w:hAnsiTheme="majorHAnsi" w:cstheme="majorHAnsi"/>
          <w:color w:val="000000" w:themeColor="text1"/>
          <w:lang w:val="en-US"/>
        </w:rPr>
        <w:t xml:space="preserve"> primaquine administered with </w:t>
      </w:r>
      <w:proofErr w:type="spellStart"/>
      <w:r w:rsidR="006A3089" w:rsidRPr="000C4838">
        <w:rPr>
          <w:rFonts w:asciiTheme="majorHAnsi" w:hAnsiTheme="majorHAnsi" w:cstheme="majorHAnsi"/>
          <w:color w:val="000000" w:themeColor="text1"/>
          <w:lang w:val="en-US"/>
        </w:rPr>
        <w:t>schizontocidal</w:t>
      </w:r>
      <w:proofErr w:type="spellEnd"/>
      <w:r w:rsidR="006A3089" w:rsidRPr="000C4838">
        <w:rPr>
          <w:rFonts w:asciiTheme="majorHAnsi" w:hAnsiTheme="majorHAnsi" w:cstheme="majorHAnsi"/>
          <w:color w:val="000000" w:themeColor="text1"/>
          <w:lang w:val="en-US"/>
        </w:rPr>
        <w:t xml:space="preserve"> treatments – chloroquine or artemisinin-based combination therapy</w:t>
      </w:r>
    </w:p>
    <w:p w14:paraId="777F0962" w14:textId="74F2D5E7" w:rsidR="00B21853" w:rsidRPr="000C4838" w:rsidRDefault="00F466A3" w:rsidP="00AF7B28">
      <w:pPr>
        <w:pStyle w:val="ListParagraph"/>
        <w:widowControl w:val="0"/>
        <w:numPr>
          <w:ilvl w:val="1"/>
          <w:numId w:val="19"/>
        </w:numPr>
        <w:tabs>
          <w:tab w:val="left" w:pos="940"/>
          <w:tab w:val="left" w:pos="1440"/>
        </w:tabs>
        <w:autoSpaceDE w:val="0"/>
        <w:autoSpaceDN w:val="0"/>
        <w:adjustRightInd w:val="0"/>
        <w:spacing w:before="100" w:beforeAutospacing="1" w:after="100" w:afterAutospacing="1" w:line="360" w:lineRule="auto"/>
        <w:rPr>
          <w:rFonts w:asciiTheme="majorHAnsi" w:hAnsiTheme="majorHAnsi" w:cstheme="majorHAnsi"/>
          <w:color w:val="000000" w:themeColor="text1"/>
          <w:lang w:val="en-US"/>
        </w:rPr>
      </w:pPr>
      <w:r w:rsidRPr="000C4838">
        <w:rPr>
          <w:rFonts w:asciiTheme="majorHAnsi" w:hAnsiTheme="majorHAnsi" w:cstheme="majorHAnsi"/>
          <w:color w:val="000000" w:themeColor="text1"/>
          <w:lang w:val="en-US"/>
        </w:rPr>
        <w:t>P</w:t>
      </w:r>
      <w:r w:rsidR="00B21853" w:rsidRPr="000C4838">
        <w:rPr>
          <w:rFonts w:asciiTheme="majorHAnsi" w:hAnsiTheme="majorHAnsi" w:cstheme="majorHAnsi"/>
          <w:color w:val="000000" w:themeColor="text1"/>
          <w:lang w:val="en-US"/>
        </w:rPr>
        <w:t>rimaquine</w:t>
      </w:r>
      <w:r w:rsidRPr="000C4838">
        <w:rPr>
          <w:rFonts w:asciiTheme="majorHAnsi" w:hAnsiTheme="majorHAnsi" w:cstheme="majorHAnsi"/>
          <w:color w:val="000000" w:themeColor="text1"/>
          <w:lang w:val="en-US"/>
        </w:rPr>
        <w:t xml:space="preserve"> administration commenced</w:t>
      </w:r>
      <w:r w:rsidR="00B21853" w:rsidRPr="000C4838">
        <w:rPr>
          <w:rFonts w:asciiTheme="majorHAnsi" w:hAnsiTheme="majorHAnsi" w:cstheme="majorHAnsi"/>
          <w:color w:val="000000" w:themeColor="text1"/>
          <w:lang w:val="en-US"/>
        </w:rPr>
        <w:t xml:space="preserve"> before day 3</w:t>
      </w:r>
    </w:p>
    <w:p w14:paraId="2AABB271" w14:textId="4FD1E291" w:rsidR="006A3089" w:rsidRPr="000C4838" w:rsidRDefault="006A3089" w:rsidP="00AF7B28">
      <w:pPr>
        <w:pStyle w:val="ListParagraph"/>
        <w:widowControl w:val="0"/>
        <w:numPr>
          <w:ilvl w:val="1"/>
          <w:numId w:val="19"/>
        </w:numPr>
        <w:tabs>
          <w:tab w:val="left" w:pos="940"/>
          <w:tab w:val="left" w:pos="1440"/>
        </w:tabs>
        <w:autoSpaceDE w:val="0"/>
        <w:autoSpaceDN w:val="0"/>
        <w:adjustRightInd w:val="0"/>
        <w:spacing w:before="100" w:beforeAutospacing="1" w:after="100" w:afterAutospacing="1" w:line="360" w:lineRule="auto"/>
        <w:rPr>
          <w:rFonts w:asciiTheme="majorHAnsi" w:hAnsiTheme="majorHAnsi" w:cstheme="majorHAnsi"/>
          <w:color w:val="000000" w:themeColor="text1"/>
          <w:lang w:val="en-US"/>
        </w:rPr>
      </w:pPr>
      <w:r w:rsidRPr="000C4838">
        <w:rPr>
          <w:rFonts w:asciiTheme="majorHAnsi" w:hAnsiTheme="majorHAnsi" w:cstheme="majorHAnsi"/>
          <w:color w:val="000000" w:themeColor="text1"/>
          <w:lang w:val="en-US"/>
        </w:rPr>
        <w:t xml:space="preserve">Information on </w:t>
      </w:r>
      <w:proofErr w:type="spellStart"/>
      <w:r w:rsidRPr="000C4838">
        <w:rPr>
          <w:rFonts w:asciiTheme="majorHAnsi" w:hAnsiTheme="majorHAnsi" w:cstheme="majorHAnsi"/>
          <w:color w:val="000000" w:themeColor="text1"/>
          <w:lang w:val="en-US"/>
        </w:rPr>
        <w:t>schizontocidal</w:t>
      </w:r>
      <w:proofErr w:type="spellEnd"/>
      <w:r w:rsidRPr="000C4838">
        <w:rPr>
          <w:rFonts w:asciiTheme="majorHAnsi" w:hAnsiTheme="majorHAnsi" w:cstheme="majorHAnsi"/>
          <w:color w:val="000000" w:themeColor="text1"/>
          <w:lang w:val="en-US"/>
        </w:rPr>
        <w:t xml:space="preserve"> treatment</w:t>
      </w:r>
      <w:r w:rsidR="00E13611" w:rsidRPr="000C4838">
        <w:rPr>
          <w:rFonts w:asciiTheme="majorHAnsi" w:hAnsiTheme="majorHAnsi" w:cstheme="majorHAnsi"/>
          <w:color w:val="000000" w:themeColor="text1"/>
          <w:lang w:val="en-US"/>
        </w:rPr>
        <w:t xml:space="preserve"> dosing</w:t>
      </w:r>
    </w:p>
    <w:p w14:paraId="17E95D8A" w14:textId="77777777" w:rsidR="006A3089" w:rsidRPr="000C4838" w:rsidRDefault="006A3089" w:rsidP="00AF7B28">
      <w:pPr>
        <w:pStyle w:val="ListParagraph"/>
        <w:widowControl w:val="0"/>
        <w:numPr>
          <w:ilvl w:val="1"/>
          <w:numId w:val="19"/>
        </w:numPr>
        <w:tabs>
          <w:tab w:val="left" w:pos="940"/>
          <w:tab w:val="left" w:pos="1440"/>
        </w:tabs>
        <w:autoSpaceDE w:val="0"/>
        <w:autoSpaceDN w:val="0"/>
        <w:adjustRightInd w:val="0"/>
        <w:spacing w:before="100" w:beforeAutospacing="1" w:after="100" w:afterAutospacing="1" w:line="360" w:lineRule="auto"/>
        <w:rPr>
          <w:rFonts w:asciiTheme="majorHAnsi" w:hAnsiTheme="majorHAnsi" w:cstheme="majorHAnsi"/>
          <w:color w:val="000000" w:themeColor="text1"/>
          <w:lang w:val="en-US"/>
        </w:rPr>
      </w:pPr>
      <w:r w:rsidRPr="000C4838">
        <w:rPr>
          <w:rFonts w:asciiTheme="majorHAnsi" w:hAnsiTheme="majorHAnsi" w:cstheme="majorHAnsi"/>
          <w:color w:val="000000" w:themeColor="text1"/>
          <w:lang w:val="en-US"/>
        </w:rPr>
        <w:t>Information on supervision, timing and dose of primaquine</w:t>
      </w:r>
    </w:p>
    <w:p w14:paraId="6EB62B5B" w14:textId="6B0F57D0" w:rsidR="006A3089" w:rsidRPr="000C4838" w:rsidRDefault="006A3089" w:rsidP="00AF7B28">
      <w:pPr>
        <w:widowControl w:val="0"/>
        <w:numPr>
          <w:ilvl w:val="0"/>
          <w:numId w:val="19"/>
        </w:numPr>
        <w:tabs>
          <w:tab w:val="left" w:pos="220"/>
          <w:tab w:val="left" w:pos="720"/>
        </w:tabs>
        <w:autoSpaceDE w:val="0"/>
        <w:autoSpaceDN w:val="0"/>
        <w:adjustRightInd w:val="0"/>
        <w:spacing w:before="100" w:beforeAutospacing="1" w:after="100" w:afterAutospacing="1" w:line="360" w:lineRule="auto"/>
        <w:rPr>
          <w:rFonts w:asciiTheme="majorHAnsi" w:hAnsiTheme="majorHAnsi" w:cstheme="majorHAnsi"/>
          <w:color w:val="000000" w:themeColor="text1"/>
          <w:sz w:val="22"/>
          <w:szCs w:val="22"/>
        </w:rPr>
      </w:pPr>
      <w:r w:rsidRPr="000C4838">
        <w:rPr>
          <w:rFonts w:asciiTheme="majorHAnsi" w:hAnsiTheme="majorHAnsi" w:cstheme="majorHAnsi"/>
          <w:color w:val="000000" w:themeColor="text1"/>
          <w:sz w:val="22"/>
          <w:szCs w:val="22"/>
        </w:rPr>
        <w:t xml:space="preserve">Study meta-data as described in the </w:t>
      </w:r>
      <w:r w:rsidR="00F466A3" w:rsidRPr="000C4838">
        <w:rPr>
          <w:rFonts w:asciiTheme="majorHAnsi" w:hAnsiTheme="majorHAnsi" w:cstheme="majorHAnsi"/>
          <w:color w:val="000000" w:themeColor="text1"/>
          <w:sz w:val="22"/>
          <w:szCs w:val="22"/>
        </w:rPr>
        <w:t xml:space="preserve">WWARN </w:t>
      </w:r>
      <w:hyperlink r:id="rId12" w:history="1">
        <w:r w:rsidRPr="000C4838">
          <w:rPr>
            <w:rFonts w:asciiTheme="majorHAnsi" w:hAnsiTheme="majorHAnsi" w:cstheme="majorHAnsi"/>
            <w:color w:val="000000" w:themeColor="text1"/>
            <w:sz w:val="22"/>
            <w:szCs w:val="22"/>
          </w:rPr>
          <w:t>Clinical Data Management and Statistical Analysis Plan</w:t>
        </w:r>
      </w:hyperlink>
      <w:r w:rsidR="00F97E54" w:rsidRPr="000C4838">
        <w:rPr>
          <w:rFonts w:asciiTheme="majorHAnsi" w:hAnsiTheme="majorHAnsi" w:cstheme="majorHAnsi"/>
          <w:color w:val="000000" w:themeColor="text1"/>
          <w:sz w:val="22"/>
          <w:szCs w:val="22"/>
        </w:rPr>
        <w:fldChar w:fldCharType="begin" w:fldLock="1"/>
      </w:r>
      <w:r w:rsidR="009E7116">
        <w:rPr>
          <w:rFonts w:asciiTheme="majorHAnsi" w:hAnsiTheme="majorHAnsi" w:cstheme="majorHAnsi"/>
          <w:color w:val="000000" w:themeColor="text1"/>
          <w:sz w:val="22"/>
          <w:szCs w:val="22"/>
        </w:rPr>
        <w:instrText>ADDIN CSL_CITATION {"citationItems":[{"id":"ITEM-1","itemData":{"id":"ITEM-1","issued":{"date-parts":[["0"]]},"title":"Clinical Module: Data Management and Statistical Analysis Plan Version 1.2 Clinical Module WorldWide Antimalarial Resistance Network (WWARN)","type":"report"},"uris":["http://www.mendeley.com/documents/?uuid=26aa2fbe-2aff-3fd2-867f-7edf6cf63e4d"]}],"mendeley":{"formattedCitation":"(3)","plainTextFormattedCitation":"(3)","previouslyFormattedCitation":"(3)"},"properties":{"noteIndex":0},"schema":"https://github.com/citation-style-language/schema/raw/master/csl-citation.json"}</w:instrText>
      </w:r>
      <w:r w:rsidR="00F97E54" w:rsidRPr="000C4838">
        <w:rPr>
          <w:rFonts w:asciiTheme="majorHAnsi" w:hAnsiTheme="majorHAnsi" w:cstheme="majorHAnsi"/>
          <w:color w:val="000000" w:themeColor="text1"/>
          <w:sz w:val="22"/>
          <w:szCs w:val="22"/>
        </w:rPr>
        <w:fldChar w:fldCharType="separate"/>
      </w:r>
      <w:r w:rsidR="00556540" w:rsidRPr="000C4838">
        <w:rPr>
          <w:rFonts w:asciiTheme="majorHAnsi" w:hAnsiTheme="majorHAnsi" w:cstheme="majorHAnsi"/>
          <w:noProof/>
          <w:color w:val="000000" w:themeColor="text1"/>
          <w:sz w:val="22"/>
          <w:szCs w:val="22"/>
        </w:rPr>
        <w:t>(3)</w:t>
      </w:r>
      <w:r w:rsidR="00F97E54" w:rsidRPr="000C4838">
        <w:rPr>
          <w:rFonts w:asciiTheme="majorHAnsi" w:hAnsiTheme="majorHAnsi" w:cstheme="majorHAnsi"/>
          <w:color w:val="000000" w:themeColor="text1"/>
          <w:sz w:val="22"/>
          <w:szCs w:val="22"/>
        </w:rPr>
        <w:fldChar w:fldCharType="end"/>
      </w:r>
    </w:p>
    <w:p w14:paraId="5DAA330D" w14:textId="77777777" w:rsidR="006A3089" w:rsidRPr="000C4838" w:rsidRDefault="006A3089" w:rsidP="00AF7B28">
      <w:pPr>
        <w:widowControl w:val="0"/>
        <w:numPr>
          <w:ilvl w:val="0"/>
          <w:numId w:val="19"/>
        </w:numPr>
        <w:tabs>
          <w:tab w:val="left" w:pos="220"/>
          <w:tab w:val="left" w:pos="720"/>
        </w:tabs>
        <w:autoSpaceDE w:val="0"/>
        <w:autoSpaceDN w:val="0"/>
        <w:adjustRightInd w:val="0"/>
        <w:spacing w:before="100" w:beforeAutospacing="1" w:after="100" w:afterAutospacing="1" w:line="360" w:lineRule="auto"/>
        <w:rPr>
          <w:rFonts w:asciiTheme="majorHAnsi" w:hAnsiTheme="majorHAnsi" w:cstheme="majorHAnsi"/>
          <w:color w:val="000000" w:themeColor="text1"/>
          <w:sz w:val="22"/>
          <w:szCs w:val="22"/>
        </w:rPr>
      </w:pPr>
      <w:r w:rsidRPr="000C4838">
        <w:rPr>
          <w:rFonts w:asciiTheme="majorHAnsi" w:hAnsiTheme="majorHAnsi" w:cstheme="majorHAnsi"/>
          <w:color w:val="000000" w:themeColor="text1"/>
          <w:sz w:val="22"/>
          <w:szCs w:val="22"/>
        </w:rPr>
        <w:t>Baseline data on patient age and gender</w:t>
      </w:r>
    </w:p>
    <w:p w14:paraId="71E10961" w14:textId="49D66CDD" w:rsidR="00B21853" w:rsidRPr="000C4838" w:rsidRDefault="006A3089" w:rsidP="00AF7B28">
      <w:pPr>
        <w:widowControl w:val="0"/>
        <w:numPr>
          <w:ilvl w:val="0"/>
          <w:numId w:val="19"/>
        </w:numPr>
        <w:tabs>
          <w:tab w:val="left" w:pos="220"/>
          <w:tab w:val="left" w:pos="720"/>
        </w:tabs>
        <w:autoSpaceDE w:val="0"/>
        <w:autoSpaceDN w:val="0"/>
        <w:adjustRightInd w:val="0"/>
        <w:spacing w:before="100" w:beforeAutospacing="1" w:after="100" w:afterAutospacing="1" w:line="360" w:lineRule="auto"/>
        <w:rPr>
          <w:rFonts w:asciiTheme="majorHAnsi" w:hAnsiTheme="majorHAnsi" w:cstheme="majorHAnsi"/>
          <w:color w:val="000000" w:themeColor="text1"/>
          <w:sz w:val="22"/>
          <w:szCs w:val="22"/>
        </w:rPr>
      </w:pPr>
      <w:r w:rsidRPr="000C4838">
        <w:rPr>
          <w:rFonts w:asciiTheme="majorHAnsi" w:hAnsiTheme="majorHAnsi" w:cstheme="majorHAnsi"/>
          <w:color w:val="000000" w:themeColor="text1"/>
          <w:sz w:val="22"/>
          <w:szCs w:val="22"/>
        </w:rPr>
        <w:t xml:space="preserve">Presence and/or density of parasites on day 0 </w:t>
      </w:r>
      <w:r w:rsidR="00F6633D">
        <w:rPr>
          <w:rFonts w:asciiTheme="majorHAnsi" w:hAnsiTheme="majorHAnsi" w:cstheme="majorHAnsi"/>
          <w:color w:val="000000" w:themeColor="text1"/>
          <w:sz w:val="22"/>
          <w:szCs w:val="22"/>
        </w:rPr>
        <w:t>and</w:t>
      </w:r>
      <w:r w:rsidRPr="000C4838">
        <w:rPr>
          <w:rFonts w:asciiTheme="majorHAnsi" w:hAnsiTheme="majorHAnsi" w:cstheme="majorHAnsi"/>
          <w:color w:val="000000" w:themeColor="text1"/>
          <w:sz w:val="22"/>
          <w:szCs w:val="22"/>
        </w:rPr>
        <w:t xml:space="preserve"> up to last day of follow-up.</w:t>
      </w:r>
    </w:p>
    <w:p w14:paraId="0EE26653" w14:textId="04AF8441" w:rsidR="00457F3C" w:rsidRPr="00001873" w:rsidRDefault="00457F3C" w:rsidP="00AF7B28">
      <w:pPr>
        <w:pStyle w:val="Heading2"/>
        <w:keepLines/>
        <w:numPr>
          <w:ilvl w:val="2"/>
          <w:numId w:val="29"/>
        </w:numPr>
        <w:spacing w:before="100" w:beforeAutospacing="1" w:after="100" w:afterAutospacing="1" w:line="360" w:lineRule="auto"/>
        <w:jc w:val="both"/>
        <w:rPr>
          <w:rStyle w:val="Strong"/>
          <w:rFonts w:asciiTheme="majorHAnsi" w:hAnsiTheme="majorHAnsi" w:cstheme="majorHAnsi"/>
          <w:i w:val="0"/>
          <w:iCs w:val="0"/>
          <w:color w:val="000000" w:themeColor="text1"/>
        </w:rPr>
      </w:pPr>
      <w:bookmarkStart w:id="11" w:name="_Toc32336009"/>
      <w:r w:rsidRPr="00001873">
        <w:rPr>
          <w:rStyle w:val="Strong"/>
          <w:rFonts w:asciiTheme="majorHAnsi" w:hAnsiTheme="majorHAnsi" w:cstheme="majorHAnsi"/>
          <w:b/>
          <w:i w:val="0"/>
          <w:iCs w:val="0"/>
          <w:color w:val="000000" w:themeColor="text1"/>
          <w:szCs w:val="22"/>
        </w:rPr>
        <w:t>Desirable criteria</w:t>
      </w:r>
      <w:bookmarkEnd w:id="10"/>
      <w:bookmarkEnd w:id="11"/>
      <w:r w:rsidRPr="00001873">
        <w:rPr>
          <w:rStyle w:val="Strong"/>
          <w:rFonts w:asciiTheme="majorHAnsi" w:hAnsiTheme="majorHAnsi" w:cstheme="majorHAnsi"/>
          <w:b/>
          <w:i w:val="0"/>
          <w:iCs w:val="0"/>
          <w:color w:val="000000" w:themeColor="text1"/>
          <w:szCs w:val="22"/>
        </w:rPr>
        <w:t xml:space="preserve"> </w:t>
      </w:r>
    </w:p>
    <w:p w14:paraId="7327165E" w14:textId="77777777" w:rsidR="005E0C28" w:rsidRPr="000C4838" w:rsidRDefault="005E0C28" w:rsidP="00AF7B28">
      <w:pPr>
        <w:widowControl w:val="0"/>
        <w:numPr>
          <w:ilvl w:val="0"/>
          <w:numId w:val="19"/>
        </w:numPr>
        <w:tabs>
          <w:tab w:val="left" w:pos="220"/>
          <w:tab w:val="left" w:pos="720"/>
        </w:tabs>
        <w:autoSpaceDE w:val="0"/>
        <w:autoSpaceDN w:val="0"/>
        <w:adjustRightInd w:val="0"/>
        <w:spacing w:before="100" w:beforeAutospacing="1" w:after="100" w:afterAutospacing="1" w:line="360" w:lineRule="auto"/>
        <w:rPr>
          <w:rFonts w:asciiTheme="majorHAnsi" w:hAnsiTheme="majorHAnsi" w:cstheme="majorHAnsi"/>
          <w:color w:val="000000" w:themeColor="text1"/>
          <w:sz w:val="22"/>
          <w:szCs w:val="22"/>
        </w:rPr>
      </w:pPr>
      <w:r w:rsidRPr="000C4838">
        <w:rPr>
          <w:rFonts w:asciiTheme="majorHAnsi" w:hAnsiTheme="majorHAnsi" w:cstheme="majorHAnsi"/>
          <w:color w:val="000000" w:themeColor="text1"/>
          <w:sz w:val="22"/>
          <w:szCs w:val="22"/>
        </w:rPr>
        <w:t>Presence of fever at baseline and during follow up</w:t>
      </w:r>
    </w:p>
    <w:p w14:paraId="3D91F63B" w14:textId="77777777" w:rsidR="005E0C28" w:rsidRPr="000C4838" w:rsidRDefault="005E0C28" w:rsidP="00AF7B28">
      <w:pPr>
        <w:widowControl w:val="0"/>
        <w:numPr>
          <w:ilvl w:val="0"/>
          <w:numId w:val="19"/>
        </w:numPr>
        <w:tabs>
          <w:tab w:val="left" w:pos="220"/>
          <w:tab w:val="left" w:pos="720"/>
        </w:tabs>
        <w:autoSpaceDE w:val="0"/>
        <w:autoSpaceDN w:val="0"/>
        <w:adjustRightInd w:val="0"/>
        <w:spacing w:before="100" w:beforeAutospacing="1" w:after="100" w:afterAutospacing="1" w:line="360" w:lineRule="auto"/>
        <w:rPr>
          <w:rFonts w:asciiTheme="majorHAnsi" w:hAnsiTheme="majorHAnsi" w:cstheme="majorHAnsi"/>
          <w:color w:val="000000" w:themeColor="text1"/>
          <w:sz w:val="22"/>
          <w:szCs w:val="22"/>
        </w:rPr>
      </w:pPr>
      <w:r w:rsidRPr="000C4838">
        <w:rPr>
          <w:rFonts w:asciiTheme="majorHAnsi" w:hAnsiTheme="majorHAnsi" w:cstheme="majorHAnsi"/>
          <w:color w:val="000000" w:themeColor="text1"/>
          <w:sz w:val="22"/>
          <w:szCs w:val="22"/>
        </w:rPr>
        <w:t>Mg/Kg dosing</w:t>
      </w:r>
    </w:p>
    <w:p w14:paraId="23A0066F" w14:textId="77777777" w:rsidR="005E0C28" w:rsidRPr="000C4838" w:rsidRDefault="005E0C28" w:rsidP="00AF7B28">
      <w:pPr>
        <w:widowControl w:val="0"/>
        <w:numPr>
          <w:ilvl w:val="0"/>
          <w:numId w:val="19"/>
        </w:numPr>
        <w:tabs>
          <w:tab w:val="left" w:pos="220"/>
          <w:tab w:val="left" w:pos="720"/>
        </w:tabs>
        <w:autoSpaceDE w:val="0"/>
        <w:autoSpaceDN w:val="0"/>
        <w:adjustRightInd w:val="0"/>
        <w:spacing w:before="100" w:beforeAutospacing="1" w:after="100" w:afterAutospacing="1" w:line="360" w:lineRule="auto"/>
        <w:rPr>
          <w:rFonts w:asciiTheme="majorHAnsi" w:hAnsiTheme="majorHAnsi" w:cstheme="majorHAnsi"/>
          <w:color w:val="000000" w:themeColor="text1"/>
          <w:sz w:val="22"/>
          <w:szCs w:val="22"/>
        </w:rPr>
      </w:pPr>
      <w:r w:rsidRPr="000C4838">
        <w:rPr>
          <w:rFonts w:asciiTheme="majorHAnsi" w:hAnsiTheme="majorHAnsi" w:cstheme="majorHAnsi"/>
          <w:color w:val="000000" w:themeColor="text1"/>
          <w:sz w:val="22"/>
          <w:szCs w:val="22"/>
        </w:rPr>
        <w:t xml:space="preserve">Weight of the patient </w:t>
      </w:r>
    </w:p>
    <w:p w14:paraId="6DC1400A" w14:textId="40F5AA90" w:rsidR="005E0C28" w:rsidRPr="000C4838" w:rsidRDefault="005E0C28" w:rsidP="00AF7B28">
      <w:pPr>
        <w:widowControl w:val="0"/>
        <w:numPr>
          <w:ilvl w:val="0"/>
          <w:numId w:val="19"/>
        </w:numPr>
        <w:tabs>
          <w:tab w:val="left" w:pos="220"/>
          <w:tab w:val="left" w:pos="720"/>
        </w:tabs>
        <w:autoSpaceDE w:val="0"/>
        <w:autoSpaceDN w:val="0"/>
        <w:adjustRightInd w:val="0"/>
        <w:spacing w:before="100" w:beforeAutospacing="1" w:after="100" w:afterAutospacing="1" w:line="360" w:lineRule="auto"/>
        <w:rPr>
          <w:rFonts w:asciiTheme="majorHAnsi" w:hAnsiTheme="majorHAnsi" w:cstheme="majorHAnsi"/>
          <w:color w:val="000000" w:themeColor="text1"/>
          <w:sz w:val="22"/>
          <w:szCs w:val="22"/>
        </w:rPr>
      </w:pPr>
      <w:r w:rsidRPr="000C4838">
        <w:rPr>
          <w:rFonts w:asciiTheme="majorHAnsi" w:hAnsiTheme="majorHAnsi" w:cstheme="majorHAnsi"/>
          <w:color w:val="000000" w:themeColor="text1"/>
          <w:sz w:val="22"/>
          <w:szCs w:val="22"/>
        </w:rPr>
        <w:t xml:space="preserve">Number of days of symptoms before </w:t>
      </w:r>
      <w:r w:rsidR="00276D73" w:rsidRPr="000C4838">
        <w:rPr>
          <w:rFonts w:asciiTheme="majorHAnsi" w:hAnsiTheme="majorHAnsi" w:cstheme="majorHAnsi"/>
          <w:color w:val="000000" w:themeColor="text1"/>
          <w:sz w:val="22"/>
          <w:szCs w:val="22"/>
        </w:rPr>
        <w:t>enrolment</w:t>
      </w:r>
    </w:p>
    <w:p w14:paraId="29C2AB4E" w14:textId="2F2E2218" w:rsidR="005E0C28" w:rsidRPr="000C4838" w:rsidRDefault="005E0C28" w:rsidP="00AF7B28">
      <w:pPr>
        <w:widowControl w:val="0"/>
        <w:numPr>
          <w:ilvl w:val="0"/>
          <w:numId w:val="19"/>
        </w:numPr>
        <w:tabs>
          <w:tab w:val="left" w:pos="220"/>
          <w:tab w:val="left" w:pos="720"/>
        </w:tabs>
        <w:autoSpaceDE w:val="0"/>
        <w:autoSpaceDN w:val="0"/>
        <w:adjustRightInd w:val="0"/>
        <w:spacing w:before="100" w:beforeAutospacing="1" w:after="100" w:afterAutospacing="1" w:line="360" w:lineRule="auto"/>
        <w:rPr>
          <w:rFonts w:asciiTheme="majorHAnsi" w:hAnsiTheme="majorHAnsi" w:cstheme="majorHAnsi"/>
          <w:color w:val="000000" w:themeColor="text1"/>
          <w:sz w:val="22"/>
          <w:szCs w:val="22"/>
        </w:rPr>
      </w:pPr>
      <w:r w:rsidRPr="000C4838">
        <w:rPr>
          <w:rFonts w:asciiTheme="majorHAnsi" w:hAnsiTheme="majorHAnsi" w:cstheme="majorHAnsi"/>
          <w:color w:val="000000" w:themeColor="text1"/>
          <w:sz w:val="22"/>
          <w:szCs w:val="22"/>
        </w:rPr>
        <w:t>Haemoglobin or haematocrit measured on day 0 and during follow up</w:t>
      </w:r>
    </w:p>
    <w:p w14:paraId="2C32A9ED" w14:textId="77777777" w:rsidR="005E0C28" w:rsidRPr="000C4838" w:rsidRDefault="005E0C28" w:rsidP="00AF7B28">
      <w:pPr>
        <w:widowControl w:val="0"/>
        <w:numPr>
          <w:ilvl w:val="0"/>
          <w:numId w:val="19"/>
        </w:numPr>
        <w:tabs>
          <w:tab w:val="left" w:pos="220"/>
          <w:tab w:val="left" w:pos="720"/>
        </w:tabs>
        <w:autoSpaceDE w:val="0"/>
        <w:autoSpaceDN w:val="0"/>
        <w:adjustRightInd w:val="0"/>
        <w:spacing w:before="100" w:beforeAutospacing="1" w:after="100" w:afterAutospacing="1" w:line="360" w:lineRule="auto"/>
        <w:rPr>
          <w:rFonts w:asciiTheme="majorHAnsi" w:hAnsiTheme="majorHAnsi" w:cstheme="majorHAnsi"/>
          <w:color w:val="000000" w:themeColor="text1"/>
          <w:sz w:val="22"/>
          <w:szCs w:val="22"/>
        </w:rPr>
      </w:pPr>
      <w:r w:rsidRPr="000C4838">
        <w:rPr>
          <w:rFonts w:asciiTheme="majorHAnsi" w:hAnsiTheme="majorHAnsi" w:cstheme="majorHAnsi"/>
          <w:color w:val="000000" w:themeColor="text1"/>
          <w:sz w:val="22"/>
          <w:szCs w:val="22"/>
        </w:rPr>
        <w:t>Malnutrition as gauged by weight and age +/- height or MUAC</w:t>
      </w:r>
    </w:p>
    <w:p w14:paraId="7842DB0C" w14:textId="35297105" w:rsidR="00457F3C" w:rsidRPr="00AF7B28" w:rsidRDefault="005E0C28" w:rsidP="00AF7B28">
      <w:pPr>
        <w:widowControl w:val="0"/>
        <w:numPr>
          <w:ilvl w:val="0"/>
          <w:numId w:val="19"/>
        </w:numPr>
        <w:tabs>
          <w:tab w:val="left" w:pos="220"/>
          <w:tab w:val="left" w:pos="720"/>
        </w:tabs>
        <w:autoSpaceDE w:val="0"/>
        <w:autoSpaceDN w:val="0"/>
        <w:adjustRightInd w:val="0"/>
        <w:spacing w:before="100" w:beforeAutospacing="1" w:after="100" w:afterAutospacing="1" w:line="360" w:lineRule="auto"/>
        <w:rPr>
          <w:rFonts w:asciiTheme="majorHAnsi" w:hAnsiTheme="majorHAnsi" w:cstheme="majorHAnsi"/>
          <w:color w:val="000000" w:themeColor="text1"/>
          <w:lang w:val="en-US"/>
        </w:rPr>
      </w:pPr>
      <w:r w:rsidRPr="000C4838">
        <w:rPr>
          <w:rFonts w:asciiTheme="majorHAnsi" w:hAnsiTheme="majorHAnsi" w:cstheme="majorHAnsi"/>
          <w:color w:val="000000" w:themeColor="text1"/>
          <w:sz w:val="22"/>
          <w:szCs w:val="22"/>
        </w:rPr>
        <w:t>Qualitative or quantitative assessment of G6PD status</w:t>
      </w:r>
      <w:r w:rsidRPr="005E0C28">
        <w:rPr>
          <w:rFonts w:asciiTheme="majorHAnsi" w:hAnsiTheme="majorHAnsi" w:cstheme="majorHAnsi"/>
          <w:color w:val="000000" w:themeColor="text1"/>
        </w:rPr>
        <w:t xml:space="preserve"> </w:t>
      </w:r>
    </w:p>
    <w:p w14:paraId="206C5FF4" w14:textId="73CC1876" w:rsidR="00EF1E66" w:rsidRPr="00EF1E66" w:rsidRDefault="00457F3C" w:rsidP="00AF7B28">
      <w:pPr>
        <w:pStyle w:val="Heading2"/>
        <w:keepLines/>
        <w:numPr>
          <w:ilvl w:val="2"/>
          <w:numId w:val="29"/>
        </w:numPr>
        <w:spacing w:before="100" w:beforeAutospacing="1" w:after="100" w:afterAutospacing="1" w:line="360" w:lineRule="auto"/>
        <w:jc w:val="both"/>
        <w:rPr>
          <w:rStyle w:val="Strong"/>
          <w:rFonts w:asciiTheme="majorHAnsi" w:hAnsiTheme="majorHAnsi"/>
          <w:b/>
          <w:color w:val="000000" w:themeColor="text1"/>
        </w:rPr>
      </w:pPr>
      <w:bookmarkStart w:id="12" w:name="_Toc32336010"/>
      <w:r w:rsidRPr="00EF1E66">
        <w:rPr>
          <w:rStyle w:val="Strong"/>
          <w:rFonts w:asciiTheme="majorHAnsi" w:hAnsiTheme="majorHAnsi" w:cstheme="majorHAnsi"/>
          <w:b/>
          <w:i w:val="0"/>
          <w:iCs w:val="0"/>
          <w:color w:val="000000" w:themeColor="text1"/>
          <w:szCs w:val="22"/>
        </w:rPr>
        <w:lastRenderedPageBreak/>
        <w:t>Exclusion Criteria</w:t>
      </w:r>
      <w:bookmarkEnd w:id="12"/>
    </w:p>
    <w:p w14:paraId="4B5CBEA6" w14:textId="78A9D7AC" w:rsidR="00457F3C" w:rsidRPr="000C4838" w:rsidRDefault="00457F3C" w:rsidP="00AF7B28">
      <w:pPr>
        <w:widowControl w:val="0"/>
        <w:numPr>
          <w:ilvl w:val="0"/>
          <w:numId w:val="19"/>
        </w:numPr>
        <w:tabs>
          <w:tab w:val="left" w:pos="220"/>
          <w:tab w:val="left" w:pos="720"/>
        </w:tabs>
        <w:autoSpaceDE w:val="0"/>
        <w:autoSpaceDN w:val="0"/>
        <w:adjustRightInd w:val="0"/>
        <w:spacing w:before="100" w:beforeAutospacing="1" w:after="100" w:afterAutospacing="1" w:line="360" w:lineRule="auto"/>
        <w:rPr>
          <w:rFonts w:asciiTheme="majorHAnsi" w:hAnsiTheme="majorHAnsi" w:cstheme="majorHAnsi"/>
          <w:color w:val="000000" w:themeColor="text1"/>
          <w:sz w:val="22"/>
          <w:szCs w:val="22"/>
        </w:rPr>
      </w:pPr>
      <w:r w:rsidRPr="000C4838">
        <w:rPr>
          <w:rFonts w:asciiTheme="majorHAnsi" w:hAnsiTheme="majorHAnsi" w:cstheme="majorHAnsi"/>
          <w:color w:val="000000" w:themeColor="text1"/>
          <w:sz w:val="22"/>
          <w:szCs w:val="22"/>
        </w:rPr>
        <w:t>Pregnancy</w:t>
      </w:r>
    </w:p>
    <w:p w14:paraId="26C3DEFE" w14:textId="3354B04B" w:rsidR="00EF1E66" w:rsidRPr="000C4838" w:rsidRDefault="00A97577" w:rsidP="00AF7B28">
      <w:pPr>
        <w:widowControl w:val="0"/>
        <w:numPr>
          <w:ilvl w:val="0"/>
          <w:numId w:val="19"/>
        </w:numPr>
        <w:tabs>
          <w:tab w:val="left" w:pos="220"/>
          <w:tab w:val="left" w:pos="720"/>
        </w:tabs>
        <w:autoSpaceDE w:val="0"/>
        <w:autoSpaceDN w:val="0"/>
        <w:adjustRightInd w:val="0"/>
        <w:spacing w:before="100" w:beforeAutospacing="1" w:after="100" w:afterAutospacing="1" w:line="360" w:lineRule="auto"/>
        <w:rPr>
          <w:rFonts w:asciiTheme="majorHAnsi" w:hAnsiTheme="majorHAnsi" w:cstheme="majorHAnsi"/>
          <w:color w:val="000000" w:themeColor="text1"/>
          <w:sz w:val="22"/>
          <w:szCs w:val="22"/>
        </w:rPr>
      </w:pPr>
      <w:r w:rsidRPr="000C4838">
        <w:rPr>
          <w:rFonts w:asciiTheme="majorHAnsi" w:hAnsiTheme="majorHAnsi" w:cstheme="majorHAnsi"/>
          <w:color w:val="000000" w:themeColor="text1"/>
          <w:sz w:val="22"/>
          <w:szCs w:val="22"/>
        </w:rPr>
        <w:t>Not</w:t>
      </w:r>
      <w:r w:rsidR="0050163E" w:rsidRPr="000C4838">
        <w:rPr>
          <w:rFonts w:asciiTheme="majorHAnsi" w:hAnsiTheme="majorHAnsi" w:cstheme="majorHAnsi"/>
          <w:color w:val="000000" w:themeColor="text1"/>
          <w:sz w:val="22"/>
          <w:szCs w:val="22"/>
        </w:rPr>
        <w:t xml:space="preserve"> administering chloroquine or ACTs</w:t>
      </w:r>
    </w:p>
    <w:p w14:paraId="7FCB321D" w14:textId="0DEA6725" w:rsidR="0050163E" w:rsidRPr="000C4838" w:rsidRDefault="0050163E" w:rsidP="00AF7B28">
      <w:pPr>
        <w:widowControl w:val="0"/>
        <w:numPr>
          <w:ilvl w:val="0"/>
          <w:numId w:val="19"/>
        </w:numPr>
        <w:tabs>
          <w:tab w:val="left" w:pos="220"/>
          <w:tab w:val="left" w:pos="720"/>
        </w:tabs>
        <w:autoSpaceDE w:val="0"/>
        <w:autoSpaceDN w:val="0"/>
        <w:adjustRightInd w:val="0"/>
        <w:spacing w:before="100" w:beforeAutospacing="1" w:after="100" w:afterAutospacing="1" w:line="360" w:lineRule="auto"/>
        <w:rPr>
          <w:rFonts w:asciiTheme="majorHAnsi" w:hAnsiTheme="majorHAnsi" w:cstheme="majorHAnsi"/>
          <w:color w:val="000000" w:themeColor="text1"/>
          <w:sz w:val="22"/>
          <w:szCs w:val="22"/>
        </w:rPr>
      </w:pPr>
      <w:r w:rsidRPr="000C4838">
        <w:rPr>
          <w:rFonts w:asciiTheme="majorHAnsi" w:hAnsiTheme="majorHAnsi" w:cstheme="majorHAnsi"/>
          <w:color w:val="000000" w:themeColor="text1"/>
          <w:sz w:val="22"/>
          <w:szCs w:val="22"/>
        </w:rPr>
        <w:t>Adjunctive drugs</w:t>
      </w:r>
    </w:p>
    <w:p w14:paraId="400AB9C6" w14:textId="109E7AC4" w:rsidR="00457F3C" w:rsidRPr="000C4838" w:rsidRDefault="00AA4810" w:rsidP="00AF7B28">
      <w:pPr>
        <w:widowControl w:val="0"/>
        <w:numPr>
          <w:ilvl w:val="0"/>
          <w:numId w:val="19"/>
        </w:numPr>
        <w:tabs>
          <w:tab w:val="left" w:pos="220"/>
          <w:tab w:val="left" w:pos="720"/>
        </w:tabs>
        <w:autoSpaceDE w:val="0"/>
        <w:autoSpaceDN w:val="0"/>
        <w:adjustRightInd w:val="0"/>
        <w:spacing w:before="100" w:beforeAutospacing="1" w:after="100" w:afterAutospacing="1" w:line="360" w:lineRule="auto"/>
        <w:rPr>
          <w:rFonts w:asciiTheme="majorHAnsi" w:hAnsiTheme="majorHAnsi" w:cstheme="majorHAnsi"/>
          <w:color w:val="000000" w:themeColor="text1"/>
          <w:sz w:val="22"/>
          <w:szCs w:val="22"/>
          <w:lang w:val="en-US"/>
        </w:rPr>
      </w:pPr>
      <w:r w:rsidRPr="000C4838">
        <w:rPr>
          <w:rFonts w:asciiTheme="majorHAnsi" w:hAnsiTheme="majorHAnsi" w:cstheme="majorHAnsi"/>
          <w:color w:val="000000" w:themeColor="text1"/>
          <w:sz w:val="22"/>
          <w:szCs w:val="22"/>
        </w:rPr>
        <w:t>Intermittent</w:t>
      </w:r>
      <w:r w:rsidR="000D5382" w:rsidRPr="000C4838">
        <w:rPr>
          <w:rFonts w:asciiTheme="majorHAnsi" w:hAnsiTheme="majorHAnsi" w:cstheme="majorHAnsi"/>
          <w:color w:val="000000" w:themeColor="text1"/>
          <w:sz w:val="22"/>
          <w:szCs w:val="22"/>
        </w:rPr>
        <w:t xml:space="preserve"> do</w:t>
      </w:r>
      <w:r w:rsidRPr="000C4838">
        <w:rPr>
          <w:rFonts w:asciiTheme="majorHAnsi" w:hAnsiTheme="majorHAnsi" w:cstheme="majorHAnsi"/>
          <w:color w:val="000000" w:themeColor="text1"/>
          <w:sz w:val="22"/>
          <w:szCs w:val="22"/>
        </w:rPr>
        <w:t>sing</w:t>
      </w:r>
      <w:r w:rsidR="00B755A4" w:rsidRPr="000C4838">
        <w:rPr>
          <w:rFonts w:asciiTheme="majorHAnsi" w:hAnsiTheme="majorHAnsi" w:cstheme="majorHAnsi"/>
          <w:color w:val="000000" w:themeColor="text1"/>
          <w:sz w:val="22"/>
          <w:szCs w:val="22"/>
        </w:rPr>
        <w:t xml:space="preserve"> of</w:t>
      </w:r>
      <w:r w:rsidR="000D5382" w:rsidRPr="000C4838">
        <w:rPr>
          <w:rFonts w:asciiTheme="majorHAnsi" w:hAnsiTheme="majorHAnsi" w:cstheme="majorHAnsi"/>
          <w:color w:val="000000" w:themeColor="text1"/>
          <w:sz w:val="22"/>
          <w:szCs w:val="22"/>
        </w:rPr>
        <w:t xml:space="preserve"> primaquine</w:t>
      </w:r>
    </w:p>
    <w:p w14:paraId="7685C81A" w14:textId="4E7E5FAF" w:rsidR="00457F3C" w:rsidRPr="003F41FF" w:rsidRDefault="00457F3C" w:rsidP="00AF7B28">
      <w:pPr>
        <w:pStyle w:val="Heading2"/>
        <w:numPr>
          <w:ilvl w:val="1"/>
          <w:numId w:val="29"/>
        </w:numPr>
        <w:spacing w:before="100" w:beforeAutospacing="1" w:after="100" w:afterAutospacing="1" w:line="360" w:lineRule="auto"/>
        <w:rPr>
          <w:rFonts w:asciiTheme="majorHAnsi" w:hAnsiTheme="majorHAnsi"/>
          <w:color w:val="0070C0"/>
          <w:sz w:val="26"/>
          <w:szCs w:val="26"/>
        </w:rPr>
      </w:pPr>
      <w:bookmarkStart w:id="13" w:name="_Toc457660143"/>
      <w:bookmarkStart w:id="14" w:name="_Toc32336011"/>
      <w:r w:rsidRPr="003F41FF">
        <w:rPr>
          <w:rFonts w:asciiTheme="majorHAnsi" w:hAnsiTheme="majorHAnsi"/>
          <w:color w:val="0070C0"/>
          <w:sz w:val="26"/>
          <w:szCs w:val="26"/>
        </w:rPr>
        <w:t>Data Poolin</w:t>
      </w:r>
      <w:bookmarkEnd w:id="13"/>
      <w:r w:rsidR="000D5382">
        <w:rPr>
          <w:rFonts w:asciiTheme="majorHAnsi" w:hAnsiTheme="majorHAnsi"/>
          <w:color w:val="0070C0"/>
          <w:sz w:val="26"/>
          <w:szCs w:val="26"/>
        </w:rPr>
        <w:t>g procedure</w:t>
      </w:r>
      <w:bookmarkEnd w:id="14"/>
    </w:p>
    <w:p w14:paraId="3CEF11F1" w14:textId="401B4E46" w:rsidR="00FE24E1" w:rsidRPr="00F4660D" w:rsidRDefault="00FE24E1" w:rsidP="00AF7B28">
      <w:pPr>
        <w:spacing w:before="100" w:beforeAutospacing="1" w:after="100" w:afterAutospacing="1" w:line="360" w:lineRule="auto"/>
        <w:jc w:val="both"/>
        <w:rPr>
          <w:rFonts w:asciiTheme="minorHAnsi" w:hAnsiTheme="minorHAnsi" w:cstheme="minorHAnsi"/>
          <w:color w:val="000000" w:themeColor="text1"/>
          <w:sz w:val="22"/>
          <w:szCs w:val="22"/>
        </w:rPr>
      </w:pPr>
      <w:r w:rsidRPr="00F4660D">
        <w:rPr>
          <w:rFonts w:asciiTheme="majorHAnsi" w:hAnsiTheme="majorHAnsi" w:cstheme="majorHAnsi"/>
          <w:color w:val="000000" w:themeColor="text1"/>
          <w:sz w:val="22"/>
          <w:szCs w:val="22"/>
        </w:rPr>
        <w:t xml:space="preserve">A systematic review of all prospective clinical efficacy </w:t>
      </w:r>
      <w:r w:rsidR="00F97E54" w:rsidRPr="00F4660D">
        <w:rPr>
          <w:rFonts w:asciiTheme="majorHAnsi" w:hAnsiTheme="majorHAnsi" w:cstheme="majorHAnsi"/>
          <w:color w:val="000000" w:themeColor="text1"/>
          <w:sz w:val="22"/>
          <w:szCs w:val="22"/>
        </w:rPr>
        <w:t xml:space="preserve">studies </w:t>
      </w:r>
      <w:r w:rsidRPr="00F4660D">
        <w:rPr>
          <w:rFonts w:asciiTheme="majorHAnsi" w:hAnsiTheme="majorHAnsi" w:cstheme="majorHAnsi"/>
          <w:color w:val="000000" w:themeColor="text1"/>
          <w:sz w:val="22"/>
          <w:szCs w:val="22"/>
        </w:rPr>
        <w:t xml:space="preserve">involving </w:t>
      </w:r>
      <w:r w:rsidR="00F97E54" w:rsidRPr="00F4660D">
        <w:rPr>
          <w:rFonts w:asciiTheme="majorHAnsi" w:hAnsiTheme="majorHAnsi" w:cstheme="majorHAnsi"/>
          <w:i/>
          <w:color w:val="000000" w:themeColor="text1"/>
          <w:sz w:val="22"/>
          <w:szCs w:val="22"/>
        </w:rPr>
        <w:t xml:space="preserve">P. </w:t>
      </w:r>
      <w:r w:rsidRPr="00F4660D">
        <w:rPr>
          <w:rFonts w:asciiTheme="majorHAnsi" w:hAnsiTheme="majorHAnsi" w:cstheme="majorHAnsi"/>
          <w:i/>
          <w:color w:val="000000" w:themeColor="text1"/>
          <w:sz w:val="22"/>
          <w:szCs w:val="22"/>
        </w:rPr>
        <w:t>vivax</w:t>
      </w:r>
      <w:r w:rsidRPr="00F4660D">
        <w:rPr>
          <w:rFonts w:asciiTheme="majorHAnsi" w:hAnsiTheme="majorHAnsi" w:cstheme="majorHAnsi"/>
          <w:color w:val="000000" w:themeColor="text1"/>
          <w:sz w:val="22"/>
          <w:szCs w:val="22"/>
        </w:rPr>
        <w:t xml:space="preserve"> mono-infection</w:t>
      </w:r>
      <w:r w:rsidR="00F97E54" w:rsidRPr="00F4660D">
        <w:rPr>
          <w:rFonts w:asciiTheme="majorHAnsi" w:hAnsiTheme="majorHAnsi" w:cstheme="majorHAnsi"/>
          <w:color w:val="000000" w:themeColor="text1"/>
          <w:sz w:val="22"/>
          <w:szCs w:val="22"/>
        </w:rPr>
        <w:t>s</w:t>
      </w:r>
      <w:r w:rsidRPr="00F4660D">
        <w:rPr>
          <w:rFonts w:asciiTheme="majorHAnsi" w:hAnsiTheme="majorHAnsi" w:cstheme="majorHAnsi"/>
          <w:color w:val="000000" w:themeColor="text1"/>
          <w:sz w:val="22"/>
          <w:szCs w:val="22"/>
        </w:rPr>
        <w:t xml:space="preserve"> </w:t>
      </w:r>
      <w:r w:rsidR="00F97E54" w:rsidRPr="00F4660D">
        <w:rPr>
          <w:rFonts w:asciiTheme="majorHAnsi" w:hAnsiTheme="majorHAnsi" w:cstheme="majorHAnsi"/>
          <w:color w:val="000000" w:themeColor="text1"/>
          <w:sz w:val="22"/>
          <w:szCs w:val="22"/>
        </w:rPr>
        <w:t>will be</w:t>
      </w:r>
      <w:r w:rsidRPr="00F4660D">
        <w:rPr>
          <w:rFonts w:asciiTheme="majorHAnsi" w:hAnsiTheme="majorHAnsi" w:cstheme="majorHAnsi"/>
          <w:color w:val="000000" w:themeColor="text1"/>
          <w:sz w:val="22"/>
          <w:szCs w:val="22"/>
        </w:rPr>
        <w:t xml:space="preserve"> </w:t>
      </w:r>
      <w:r w:rsidR="00F97E54" w:rsidRPr="00F4660D">
        <w:rPr>
          <w:rFonts w:asciiTheme="majorHAnsi" w:hAnsiTheme="majorHAnsi" w:cstheme="majorHAnsi"/>
          <w:color w:val="000000" w:themeColor="text1"/>
          <w:sz w:val="22"/>
          <w:szCs w:val="22"/>
        </w:rPr>
        <w:t>undertaken</w:t>
      </w:r>
      <w:r w:rsidRPr="00F4660D">
        <w:rPr>
          <w:rFonts w:asciiTheme="majorHAnsi" w:hAnsiTheme="majorHAnsi" w:cstheme="majorHAnsi"/>
          <w:color w:val="000000" w:themeColor="text1"/>
          <w:sz w:val="22"/>
          <w:szCs w:val="22"/>
        </w:rPr>
        <w:t xml:space="preserve">. </w:t>
      </w:r>
      <w:r w:rsidR="00F97E54" w:rsidRPr="00F4660D">
        <w:rPr>
          <w:rFonts w:asciiTheme="majorHAnsi" w:hAnsiTheme="majorHAnsi" w:cstheme="majorHAnsi"/>
          <w:color w:val="000000" w:themeColor="text1"/>
          <w:sz w:val="22"/>
          <w:szCs w:val="22"/>
        </w:rPr>
        <w:t xml:space="preserve">Studies </w:t>
      </w:r>
      <w:r w:rsidRPr="00F4660D">
        <w:rPr>
          <w:rFonts w:asciiTheme="majorHAnsi" w:hAnsiTheme="majorHAnsi" w:cstheme="majorHAnsi"/>
          <w:color w:val="000000" w:themeColor="text1"/>
          <w:sz w:val="22"/>
          <w:szCs w:val="22"/>
        </w:rPr>
        <w:t xml:space="preserve">undertaken since the year </w:t>
      </w:r>
      <w:r w:rsidR="005B3916" w:rsidRPr="00F4660D">
        <w:rPr>
          <w:rFonts w:asciiTheme="majorHAnsi" w:hAnsiTheme="majorHAnsi" w:cstheme="majorHAnsi"/>
          <w:color w:val="000000" w:themeColor="text1"/>
          <w:sz w:val="22"/>
          <w:szCs w:val="22"/>
        </w:rPr>
        <w:t>1999</w:t>
      </w:r>
      <w:r w:rsidRPr="00F4660D">
        <w:rPr>
          <w:rFonts w:asciiTheme="majorHAnsi" w:hAnsiTheme="majorHAnsi" w:cstheme="majorHAnsi"/>
          <w:color w:val="000000" w:themeColor="text1"/>
          <w:sz w:val="22"/>
          <w:szCs w:val="22"/>
        </w:rPr>
        <w:t xml:space="preserve"> </w:t>
      </w:r>
      <w:r w:rsidR="00F97E54" w:rsidRPr="00F4660D">
        <w:rPr>
          <w:rFonts w:asciiTheme="majorHAnsi" w:hAnsiTheme="majorHAnsi" w:cstheme="majorHAnsi"/>
          <w:color w:val="000000" w:themeColor="text1"/>
          <w:sz w:val="22"/>
          <w:szCs w:val="22"/>
        </w:rPr>
        <w:t xml:space="preserve">(last 20 years) </w:t>
      </w:r>
      <w:r w:rsidRPr="00F4660D">
        <w:rPr>
          <w:rFonts w:asciiTheme="majorHAnsi" w:hAnsiTheme="majorHAnsi" w:cstheme="majorHAnsi"/>
          <w:color w:val="000000" w:themeColor="text1"/>
          <w:sz w:val="22"/>
          <w:szCs w:val="22"/>
        </w:rPr>
        <w:t xml:space="preserve">that fulfil the study criteria </w:t>
      </w:r>
      <w:r w:rsidR="00F97E54" w:rsidRPr="00F4660D">
        <w:rPr>
          <w:rFonts w:asciiTheme="majorHAnsi" w:hAnsiTheme="majorHAnsi" w:cstheme="majorHAnsi"/>
          <w:color w:val="000000" w:themeColor="text1"/>
          <w:sz w:val="22"/>
          <w:szCs w:val="22"/>
        </w:rPr>
        <w:t xml:space="preserve">will be </w:t>
      </w:r>
      <w:r w:rsidRPr="00F4660D">
        <w:rPr>
          <w:rFonts w:asciiTheme="majorHAnsi" w:hAnsiTheme="majorHAnsi" w:cstheme="majorHAnsi"/>
          <w:color w:val="000000" w:themeColor="text1"/>
          <w:sz w:val="22"/>
          <w:szCs w:val="22"/>
        </w:rPr>
        <w:t>targeted through direct email to the corresponding author and/or principal investigator. Data from unpublished and ongoing clinical studies will also be included if available. Once data are uploaded into the WWARN repository, they will be curated and standardi</w:t>
      </w:r>
      <w:r w:rsidR="00F97E54" w:rsidRPr="00F4660D">
        <w:rPr>
          <w:rFonts w:asciiTheme="majorHAnsi" w:hAnsiTheme="majorHAnsi" w:cstheme="majorHAnsi"/>
          <w:color w:val="000000" w:themeColor="text1"/>
          <w:sz w:val="22"/>
          <w:szCs w:val="22"/>
        </w:rPr>
        <w:t>s</w:t>
      </w:r>
      <w:r w:rsidRPr="00F4660D">
        <w:rPr>
          <w:rFonts w:asciiTheme="majorHAnsi" w:hAnsiTheme="majorHAnsi" w:cstheme="majorHAnsi"/>
          <w:color w:val="000000" w:themeColor="text1"/>
          <w:sz w:val="22"/>
          <w:szCs w:val="22"/>
        </w:rPr>
        <w:t>ed using the WWARN Data Management and Statistical Analysis Plans</w:t>
      </w:r>
      <w:r w:rsidRPr="00F4660D">
        <w:rPr>
          <w:rFonts w:asciiTheme="majorHAnsi" w:hAnsiTheme="majorHAnsi" w:cstheme="majorHAnsi"/>
          <w:color w:val="000000" w:themeColor="text1"/>
          <w:sz w:val="22"/>
          <w:szCs w:val="22"/>
        </w:rPr>
        <w:fldChar w:fldCharType="begin" w:fldLock="1"/>
      </w:r>
      <w:r w:rsidR="009E7116" w:rsidRPr="00F4660D">
        <w:rPr>
          <w:rFonts w:asciiTheme="majorHAnsi" w:hAnsiTheme="majorHAnsi" w:cstheme="majorHAnsi"/>
          <w:color w:val="000000" w:themeColor="text1"/>
          <w:sz w:val="22"/>
          <w:szCs w:val="22"/>
        </w:rPr>
        <w:instrText>ADDIN CSL_CITATION {"citationItems":[{"id":"ITEM-1","itemData":{"id":"ITEM-1","issued":{"date-parts":[["0"]]},"title":"Clinical Module: Data Management and Statistical Analysis Plan Version 1.2 Clinical Module WorldWide Antimalarial Resistance Network (WWARN)","type":"report"},"uris":["http://www.mendeley.com/documents/?uuid=26aa2fbe-2aff-3fd2-867f-7edf6cf63e4d"]}],"mendeley":{"formattedCitation":"(3)","plainTextFormattedCitation":"(3)","previouslyFormattedCitation":"(3)"},"properties":{"noteIndex":0},"schema":"https://github.com/citation-style-language/schema/raw/master/csl-citation.json"}</w:instrText>
      </w:r>
      <w:r w:rsidRPr="00F4660D">
        <w:rPr>
          <w:rFonts w:asciiTheme="majorHAnsi" w:hAnsiTheme="majorHAnsi" w:cstheme="majorHAnsi"/>
          <w:color w:val="000000" w:themeColor="text1"/>
          <w:sz w:val="22"/>
          <w:szCs w:val="22"/>
        </w:rPr>
        <w:fldChar w:fldCharType="separate"/>
      </w:r>
      <w:r w:rsidR="00556540" w:rsidRPr="00F4660D">
        <w:rPr>
          <w:rFonts w:asciiTheme="majorHAnsi" w:hAnsiTheme="majorHAnsi" w:cstheme="majorHAnsi"/>
          <w:noProof/>
          <w:color w:val="000000" w:themeColor="text1"/>
          <w:sz w:val="22"/>
          <w:szCs w:val="22"/>
        </w:rPr>
        <w:t>(3)</w:t>
      </w:r>
      <w:r w:rsidRPr="00F4660D">
        <w:rPr>
          <w:rFonts w:asciiTheme="majorHAnsi" w:hAnsiTheme="majorHAnsi" w:cstheme="majorHAnsi"/>
          <w:color w:val="000000" w:themeColor="text1"/>
          <w:sz w:val="22"/>
          <w:szCs w:val="22"/>
        </w:rPr>
        <w:fldChar w:fldCharType="end"/>
      </w:r>
      <w:r w:rsidRPr="00F4660D">
        <w:rPr>
          <w:rFonts w:asciiTheme="majorHAnsi" w:hAnsiTheme="majorHAnsi" w:cstheme="majorHAnsi"/>
          <w:color w:val="000000" w:themeColor="text1"/>
          <w:sz w:val="22"/>
          <w:szCs w:val="22"/>
        </w:rPr>
        <w:t xml:space="preserve"> for clinical data and pooled into a single database of quality-assured individual patient data.</w:t>
      </w:r>
    </w:p>
    <w:p w14:paraId="7EA84316" w14:textId="21D4BB4A" w:rsidR="00457F3C" w:rsidRPr="00F4660D" w:rsidRDefault="00F93404" w:rsidP="00AF7B28">
      <w:pPr>
        <w:spacing w:before="100" w:beforeAutospacing="1" w:after="100" w:afterAutospacing="1" w:line="360" w:lineRule="auto"/>
        <w:jc w:val="both"/>
        <w:rPr>
          <w:rFonts w:asciiTheme="majorHAnsi" w:hAnsiTheme="majorHAnsi" w:cstheme="majorHAnsi"/>
          <w:color w:val="000000" w:themeColor="text1"/>
          <w:sz w:val="22"/>
          <w:szCs w:val="22"/>
        </w:rPr>
      </w:pPr>
      <w:r w:rsidRPr="00F4660D">
        <w:rPr>
          <w:rFonts w:asciiTheme="majorHAnsi" w:hAnsiTheme="majorHAnsi" w:cstheme="majorHAnsi"/>
          <w:color w:val="000000" w:themeColor="text1"/>
          <w:sz w:val="22"/>
          <w:szCs w:val="22"/>
        </w:rPr>
        <w:t xml:space="preserve">The dataset will be </w:t>
      </w:r>
      <w:r w:rsidR="00F97E54" w:rsidRPr="00F4660D">
        <w:rPr>
          <w:rFonts w:asciiTheme="majorHAnsi" w:hAnsiTheme="majorHAnsi" w:cstheme="majorHAnsi"/>
          <w:color w:val="000000" w:themeColor="text1"/>
          <w:sz w:val="22"/>
          <w:szCs w:val="22"/>
        </w:rPr>
        <w:t xml:space="preserve">curated </w:t>
      </w:r>
      <w:r w:rsidRPr="00F4660D">
        <w:rPr>
          <w:rFonts w:asciiTheme="majorHAnsi" w:hAnsiTheme="majorHAnsi" w:cstheme="majorHAnsi"/>
          <w:color w:val="000000" w:themeColor="text1"/>
          <w:sz w:val="22"/>
          <w:szCs w:val="22"/>
        </w:rPr>
        <w:t xml:space="preserve">in the form of </w:t>
      </w:r>
      <w:r w:rsidR="00F97E54" w:rsidRPr="00F4660D">
        <w:rPr>
          <w:rFonts w:asciiTheme="majorHAnsi" w:hAnsiTheme="majorHAnsi" w:cstheme="majorHAnsi"/>
          <w:color w:val="000000" w:themeColor="text1"/>
          <w:sz w:val="22"/>
          <w:szCs w:val="22"/>
        </w:rPr>
        <w:t>t</w:t>
      </w:r>
      <w:r w:rsidR="00E540E4" w:rsidRPr="00F4660D">
        <w:rPr>
          <w:rFonts w:asciiTheme="majorHAnsi" w:hAnsiTheme="majorHAnsi" w:cstheme="majorHAnsi"/>
          <w:color w:val="000000" w:themeColor="text1"/>
          <w:sz w:val="22"/>
          <w:szCs w:val="22"/>
        </w:rPr>
        <w:t>he Vivax Adherence Study Group</w:t>
      </w:r>
      <w:r w:rsidR="00B33D66" w:rsidRPr="00F4660D">
        <w:rPr>
          <w:rFonts w:asciiTheme="majorHAnsi" w:hAnsiTheme="majorHAnsi" w:cstheme="majorHAnsi"/>
          <w:color w:val="000000" w:themeColor="text1"/>
          <w:sz w:val="22"/>
          <w:szCs w:val="22"/>
        </w:rPr>
        <w:t>,</w:t>
      </w:r>
      <w:r w:rsidR="00E540E4" w:rsidRPr="00F4660D">
        <w:rPr>
          <w:rFonts w:asciiTheme="majorHAnsi" w:hAnsiTheme="majorHAnsi" w:cstheme="majorHAnsi"/>
          <w:color w:val="000000" w:themeColor="text1"/>
          <w:sz w:val="22"/>
          <w:szCs w:val="22"/>
        </w:rPr>
        <w:t xml:space="preserve"> </w:t>
      </w:r>
      <w:r w:rsidRPr="00F4660D">
        <w:rPr>
          <w:rFonts w:asciiTheme="majorHAnsi" w:hAnsiTheme="majorHAnsi" w:cstheme="majorHAnsi"/>
          <w:color w:val="000000" w:themeColor="text1"/>
          <w:sz w:val="22"/>
          <w:szCs w:val="22"/>
        </w:rPr>
        <w:t xml:space="preserve">that </w:t>
      </w:r>
      <w:r w:rsidR="00E540E4" w:rsidRPr="00F4660D">
        <w:rPr>
          <w:rFonts w:asciiTheme="majorHAnsi" w:hAnsiTheme="majorHAnsi" w:cstheme="majorHAnsi"/>
          <w:color w:val="000000" w:themeColor="text1"/>
          <w:sz w:val="22"/>
          <w:szCs w:val="22"/>
        </w:rPr>
        <w:t xml:space="preserve">is an extension of </w:t>
      </w:r>
      <w:r w:rsidR="00F97E54" w:rsidRPr="00F4660D">
        <w:rPr>
          <w:rFonts w:asciiTheme="majorHAnsi" w:hAnsiTheme="majorHAnsi" w:cstheme="majorHAnsi"/>
          <w:color w:val="000000" w:themeColor="text1"/>
          <w:sz w:val="22"/>
          <w:szCs w:val="22"/>
        </w:rPr>
        <w:t>t</w:t>
      </w:r>
      <w:r w:rsidR="00E540E4" w:rsidRPr="00F4660D">
        <w:rPr>
          <w:rFonts w:asciiTheme="majorHAnsi" w:hAnsiTheme="majorHAnsi" w:cstheme="majorHAnsi"/>
          <w:color w:val="000000" w:themeColor="text1"/>
          <w:sz w:val="22"/>
          <w:szCs w:val="22"/>
        </w:rPr>
        <w:t>he Vivax Recurrence Study Group, which was established in April 2016</w:t>
      </w:r>
      <w:r w:rsidR="00E540E4" w:rsidRPr="00F4660D">
        <w:rPr>
          <w:rFonts w:asciiTheme="majorHAnsi" w:hAnsiTheme="majorHAnsi" w:cstheme="majorHAnsi"/>
          <w:color w:val="000000" w:themeColor="text1"/>
          <w:sz w:val="22"/>
          <w:szCs w:val="22"/>
        </w:rPr>
        <w:fldChar w:fldCharType="begin" w:fldLock="1"/>
      </w:r>
      <w:r w:rsidR="009E7116" w:rsidRPr="00F4660D">
        <w:rPr>
          <w:rFonts w:asciiTheme="majorHAnsi" w:hAnsiTheme="majorHAnsi" w:cstheme="majorHAnsi"/>
          <w:color w:val="000000" w:themeColor="text1"/>
          <w:sz w:val="22"/>
          <w:szCs w:val="22"/>
        </w:rPr>
        <w:instrText>ADDIN CSL_CITATION {"citationItems":[{"id":"ITEM-1","itemData":{"DOI":"10.1016/S1473-3099(18)30348-7","ISSN":"14744457","abstract":"Background: Chloroquine remains the mainstay of treatment for Plasmodium vivax malaria despite increasing reports of treatment failure. We did a systematic review and meta-analysis to investigate the effect of chloroquine dose and the addition of primaquine on the risk of recurrent vivax malaria across different settings. Methods: A systematic review done in MEDLINE, Web of Science, Embase, and Cochrane Database of Systematic Reviews identified P vivax clinical trials published between Jan 1, 2000, and March 22, 2017. Principal investigators were invited to share individual patient data, which were pooled using standardised methods. Cox regression analyses with random effects for study site were used to investigate the roles of chloroquine dose and primaquine use on rate of recurrence between day 7 and day 42 (primary outcome). The review protocol is registered in PROSPERO, number CRD42016053310. Findings: Of 134 identified chloroquine studies, 37 studies (from 17 countries) and 5240 patients were included. 2990 patients were treated with chloroquine alone, of whom 1041 (34·8%) received a dose below the target 25 mg/kg. The risk of recurrence was 32·4% (95% CI 29·8–35·1) by day 42. After controlling for confounders, a 5 mg/kg higher chloroquine dose reduced the rate of recurrence overall (adjusted hazard ratio [AHR] 0·82, 95% CI 0·69–0·97; p=0·021) and in children younger than 5 years (0·59, 0·41–0·86; p=0·0058). Adding primaquine reduced the risk of recurrence to 4·9% (95% CI 3·1–7·7) by day 42, which is lower than with chloroquine alone (AHR 0·10, 0·05–0·17; p&lt;0·0001). Interpretation: Chloroquine is commonly under-dosed in the treatment of vivax malaria. Increasing the recommended dose to 30 mg/kg in children younger than 5 years could reduce substantially the risk of early recurrence when primaquine is not given. Radical cure with primaquine was highly effective in preventing early recurrence and may also improve blood schizontocidal efficacy against chloroquine-resistant P vivax. Funding: Wellcome Trust, Australian National Health and Medical Research Council, and Bill &amp; Melinda Gates Foundation.","author":[{"dropping-particle":"","family":"Commons","given":"Robert J.","non-dropping-particle":"","parse-names":false,"suffix":""},{"dropping-particle":"","family":"Simpson","given":"Julie A.","non-dropping-particle":"","parse-names":false,"suffix":""},{"dropping-particle":"","family":"Thriemer","given":"Kamala","non-dropping-particle":"","parse-names":false,"suffix":""},{"dropping-particle":"","family":"Humphreys","given":"Georgina S.","non-dropping-particle":"","parse-names":false,"suffix":""},{"dropping-particle":"","family":"Abreha","given":"Tesfay","non-dropping-particle":"","parse-names":false,"suffix":""},{"dropping-particle":"","family":"Alemu","given":"Sisay G.","non-dropping-particle":"","parse-names":false,"suffix":""},{"dropping-particle":"","family":"Añez","given":"Arletta","non-dropping-particle":"","parse-names":false,"suffix":""},{"dropping-particle":"","family":"Anstey","given":"Nicholas M.","non-dropping-particle":"","parse-names":false,"suffix":""},{"dropping-particle":"","family":"Awab","given":"Ghulam R.","non-dropping-particle":"","parse-names":false,"suffix":""},{"dropping-particle":"","family":"Baird","given":"J. Kevin","non-dropping-particle":"","parse-names":false,"suffix":""},{"dropping-particle":"","family":"Barber","given":"Bridget E.","non-dropping-particle":"","parse-names":false,"suffix":""},{"dropping-particle":"","family":"Borghini-Fuhrer","given":"Isabelle","non-dropping-particle":"","parse-names":false,"suffix":""},{"dropping-particle":"","family":"Chu","given":"Cindy S.","non-dropping-particle":"","parse-names":false,"suffix":""},{"dropping-particle":"","family":"D'Alessandro","given":"Umberto","non-dropping-particle":"","parse-names":false,"suffix":""},{"dropping-particle":"","family":"Dahal","given":"Prabin","non-dropping-particle":"","parse-names":false,"suffix":""},{"dropping-particle":"","family":"Daher","given":"André","non-dropping-particle":"","parse-names":false,"suffix":""},{"dropping-particle":"","family":"Vries","given":"Peter J.","non-dropping-particle":"de","parse-names":false,"suffix":""},{"dropping-particle":"","family":"Erhart","given":"Annette","non-dropping-particle":"","parse-names":false,"suffix":""},{"dropping-particle":"","family":"Gomes","given":"Margarete S.M.","non-dropping-particle":"","parse-names":false,"suffix":""},{"dropping-particle":"","family":"Gonzalez-Ceron","given":"Lilia","non-dropping-particle":"","parse-names":false,"suffix":""},{"dropping-particle":"","family":"Grigg","given":"Matthew J.","non-dropping-particle":"","parse-names":false,"suffix":""},{"dropping-particle":"","family":"Heidari","given":"Aliehsan","non-dropping-particle":"","parse-names":false,"suffix":""},{"dropping-particle":"","family":"Hwang","given":"Jimee","non-dropping-particle":"","parse-names":false,"suffix":""},{"dropping-particle":"","family":"Kager","given":"Piet A.","non-dropping-particle":"","parse-names":false,"suffix":""},{"dropping-particle":"","family":"Ketema","given":"Tsige","non-dropping-particle":"","parse-names":false,"suffix":""},{"dropping-particle":"","family":"Khan","given":"Wasif A.","non-dropping-particle":"","parse-names":false,"suffix":""},{"dropping-particle":"","family":"Lacerda","given":"Marcus V.G.","non-dropping-particle":"","parse-names":false,"suffix":""},{"dropping-particle":"","family":"Leslie","given":"Toby","non-dropping-particle":"","parse-names":false,"suffix":""},{"dropping-particle":"","family":"Ley","given":"Benedikt","non-dropping-particle":"","parse-names":false,"suffix":""},{"dropping-particle":"","family":"Lidia","given":"Kartini","non-dropping-particle":"","parse-names":false,"suffix":""},{"dropping-particle":"","family":"Monteiro","given":"Wuelton M.","non-dropping-particle":"","parse-names":false,"suffix":""},{"dropping-particle":"","family":"Nosten","given":"Francois","non-dropping-particle":"","parse-names":false,"suffix":""},{"dropping-particle":"","family":"Pereira","given":"Dhelio B.","non-dropping-particle":"","parse-names":false,"suffix":""},{"dropping-particle":"","family":"Phan","given":"Giao T.","non-dropping-particle":"","parse-names":false,"suffix":""},{"dropping-particle":"","family":"Phyo","given":"Aung P.","non-dropping-particle":"","parse-names":false,"suffix":""},{"dropping-particle":"","family":"Rowland","given":"Mark","non-dropping-particle":"","parse-names":false,"suffix":""},{"dropping-particle":"","family":"Saravu","given":"Kavitha","non-dropping-particle":"","parse-names":false,"suffix":""},{"dropping-particle":"","family":"Sibley","given":"Carol H.","non-dropping-particle":"","parse-names":false,"suffix":""},{"dropping-particle":"","family":"Siqueira","given":"André M.","non-dropping-particle":"","parse-names":false,"suffix":""},{"dropping-particle":"","family":"Stepniewska","given":"Kasia","non-dropping-particle":"","parse-names":false,"suffix":""},{"dropping-particle":"","family":"Sutanto","given":"Inge","non-dropping-particle":"","parse-names":false,"suffix":""},{"dropping-particle":"","family":"Taylor","given":"Walter R.J.","non-dropping-particle":"","parse-names":false,"suffix":""},{"dropping-particle":"","family":"Thwaites","given":"Guy","non-dropping-particle":"","parse-names":false,"suffix":""},{"dropping-particle":"","family":"Tran","given":"Binh Q.","non-dropping-particle":"","parse-names":false,"suffix":""},{"dropping-particle":"","family":"Tran","given":"Hien T.","non-dropping-particle":"","parse-names":false,"suffix":""},{"dropping-particle":"","family":"Valecha","given":"Neena","non-dropping-particle":"","parse-names":false,"suffix":""},{"dropping-particle":"","family":"Vieira","given":"José Luiz F.","non-dropping-particle":"","parse-names":false,"suffix":""},{"dropping-particle":"","family":"Wangchuk","given":"Sonam","non-dropping-particle":"","parse-names":false,"suffix":""},{"dropping-particle":"","family":"William","given":"Timothy","non-dropping-particle":"","parse-names":false,"suffix":""},{"dropping-particle":"","family":"Woodrow","given":"Charles J.","non-dropping-particle":"","parse-names":false,"suffix":""},{"dropping-particle":"","family":"Zuluaga-Idarraga","given":"Lina","non-dropping-particle":"","parse-names":false,"suffix":""},{"dropping-particle":"","family":"Guerin","given":"Philippe J.","non-dropping-particle":"","parse-names":false,"suffix":""},{"dropping-particle":"","family":"White","given":"Nicholas J.","non-dropping-particle":"","parse-names":false,"suffix":""},{"dropping-particle":"","family":"Price","given":"Ric N.","non-dropping-particle":"","parse-names":false,"suffix":""}],"container-title":"The Lancet Infectious Diseases","id":"ITEM-1","issued":{"date-parts":[["2018"]]},"title":"The effect of chloroquine dose and primaquine on Plasmodium vivax recurrence: a WorldWide Antimalarial Resistance Network systematic review and individual patient pooled meta-analysis","type":"article-journal"},"uris":["http://www.mendeley.com/documents/?uuid=16e8ac9c-73c6-4976-b4df-9fa42033748a"]}],"mendeley":{"formattedCitation":"(4)","plainTextFormattedCitation":"(4)","previouslyFormattedCitation":"(4)"},"properties":{"noteIndex":0},"schema":"https://github.com/citation-style-language/schema/raw/master/csl-citation.json"}</w:instrText>
      </w:r>
      <w:r w:rsidR="00E540E4" w:rsidRPr="00F4660D">
        <w:rPr>
          <w:rFonts w:asciiTheme="majorHAnsi" w:hAnsiTheme="majorHAnsi" w:cstheme="majorHAnsi"/>
          <w:color w:val="000000" w:themeColor="text1"/>
          <w:sz w:val="22"/>
          <w:szCs w:val="22"/>
        </w:rPr>
        <w:fldChar w:fldCharType="separate"/>
      </w:r>
      <w:r w:rsidR="00556540" w:rsidRPr="00F4660D">
        <w:rPr>
          <w:rFonts w:asciiTheme="majorHAnsi" w:hAnsiTheme="majorHAnsi" w:cstheme="majorHAnsi"/>
          <w:noProof/>
          <w:color w:val="000000" w:themeColor="text1"/>
          <w:sz w:val="22"/>
          <w:szCs w:val="22"/>
        </w:rPr>
        <w:t>(4)</w:t>
      </w:r>
      <w:r w:rsidR="00E540E4" w:rsidRPr="00F4660D">
        <w:rPr>
          <w:rFonts w:asciiTheme="majorHAnsi" w:hAnsiTheme="majorHAnsi" w:cstheme="majorHAnsi"/>
          <w:color w:val="000000" w:themeColor="text1"/>
          <w:sz w:val="22"/>
          <w:szCs w:val="22"/>
        </w:rPr>
        <w:fldChar w:fldCharType="end"/>
      </w:r>
      <w:r w:rsidR="00E540E4" w:rsidRPr="00F4660D">
        <w:rPr>
          <w:rFonts w:asciiTheme="majorHAnsi" w:hAnsiTheme="majorHAnsi" w:cstheme="majorHAnsi"/>
          <w:color w:val="000000" w:themeColor="text1"/>
          <w:sz w:val="22"/>
          <w:szCs w:val="22"/>
        </w:rPr>
        <w:t>. A systematic review was undertaken in 2017</w:t>
      </w:r>
      <w:r w:rsidR="00B33D66" w:rsidRPr="00F4660D">
        <w:rPr>
          <w:rFonts w:asciiTheme="majorHAnsi" w:hAnsiTheme="majorHAnsi" w:cstheme="majorHAnsi"/>
          <w:color w:val="000000" w:themeColor="text1"/>
          <w:sz w:val="22"/>
          <w:szCs w:val="22"/>
        </w:rPr>
        <w:t>,</w:t>
      </w:r>
      <w:r w:rsidR="00E540E4" w:rsidRPr="00F4660D">
        <w:rPr>
          <w:rFonts w:asciiTheme="majorHAnsi" w:hAnsiTheme="majorHAnsi" w:cstheme="majorHAnsi"/>
          <w:color w:val="000000" w:themeColor="text1"/>
          <w:sz w:val="22"/>
          <w:szCs w:val="22"/>
        </w:rPr>
        <w:t xml:space="preserve"> and the relevant research groups were contacted, and the available data collated. The systematic review will be updated to includes all studies up until </w:t>
      </w:r>
      <w:r w:rsidR="00F94679" w:rsidRPr="00F4660D">
        <w:rPr>
          <w:rFonts w:asciiTheme="majorHAnsi" w:hAnsiTheme="majorHAnsi" w:cstheme="majorHAnsi"/>
          <w:color w:val="000000" w:themeColor="text1"/>
          <w:sz w:val="22"/>
          <w:szCs w:val="22"/>
        </w:rPr>
        <w:t>December</w:t>
      </w:r>
      <w:r w:rsidR="00E540E4" w:rsidRPr="00F4660D">
        <w:rPr>
          <w:rFonts w:asciiTheme="majorHAnsi" w:hAnsiTheme="majorHAnsi" w:cstheme="majorHAnsi"/>
          <w:color w:val="000000" w:themeColor="text1"/>
          <w:sz w:val="22"/>
          <w:szCs w:val="22"/>
        </w:rPr>
        <w:t xml:space="preserve"> 2019</w:t>
      </w:r>
      <w:r w:rsidR="00B33D66" w:rsidRPr="00F4660D">
        <w:rPr>
          <w:rFonts w:asciiTheme="majorHAnsi" w:hAnsiTheme="majorHAnsi" w:cstheme="majorHAnsi"/>
          <w:color w:val="000000" w:themeColor="text1"/>
          <w:sz w:val="22"/>
          <w:szCs w:val="22"/>
        </w:rPr>
        <w:t>,</w:t>
      </w:r>
      <w:r w:rsidR="00E540E4" w:rsidRPr="00F4660D">
        <w:rPr>
          <w:rFonts w:asciiTheme="majorHAnsi" w:hAnsiTheme="majorHAnsi" w:cstheme="majorHAnsi"/>
          <w:color w:val="000000" w:themeColor="text1"/>
          <w:sz w:val="22"/>
          <w:szCs w:val="22"/>
        </w:rPr>
        <w:t xml:space="preserve"> and any additional datasets will be curated and added to</w:t>
      </w:r>
      <w:r w:rsidR="00B77C4B" w:rsidRPr="00F4660D">
        <w:rPr>
          <w:rFonts w:asciiTheme="majorHAnsi" w:hAnsiTheme="majorHAnsi" w:cstheme="majorHAnsi"/>
          <w:color w:val="000000" w:themeColor="text1"/>
          <w:sz w:val="22"/>
          <w:szCs w:val="22"/>
        </w:rPr>
        <w:t xml:space="preserve"> the previous studies</w:t>
      </w:r>
      <w:r w:rsidR="00E540E4" w:rsidRPr="00F4660D">
        <w:rPr>
          <w:rFonts w:asciiTheme="majorHAnsi" w:hAnsiTheme="majorHAnsi" w:cstheme="majorHAnsi"/>
          <w:color w:val="000000" w:themeColor="text1"/>
          <w:sz w:val="22"/>
          <w:szCs w:val="22"/>
        </w:rPr>
        <w:t xml:space="preserve">. </w:t>
      </w:r>
    </w:p>
    <w:p w14:paraId="158A9D95" w14:textId="432DCEBD" w:rsidR="00A3197A" w:rsidRPr="00B74898" w:rsidRDefault="00457F3C" w:rsidP="00B74898">
      <w:pPr>
        <w:pStyle w:val="Heading1"/>
        <w:numPr>
          <w:ilvl w:val="0"/>
          <w:numId w:val="29"/>
        </w:numPr>
        <w:spacing w:before="100" w:beforeAutospacing="1" w:after="100" w:afterAutospacing="1" w:line="360" w:lineRule="auto"/>
      </w:pPr>
      <w:bookmarkStart w:id="15" w:name="_Toc457660144"/>
      <w:bookmarkStart w:id="16" w:name="_Toc32336012"/>
      <w:r w:rsidRPr="00A97577">
        <w:t>Outline of Statistical Analysis</w:t>
      </w:r>
      <w:bookmarkEnd w:id="15"/>
      <w:bookmarkEnd w:id="16"/>
      <w:r w:rsidRPr="00A97577">
        <w:t xml:space="preserve"> </w:t>
      </w:r>
    </w:p>
    <w:p w14:paraId="5BF5C4C2" w14:textId="1424B1D2" w:rsidR="00457F3C" w:rsidRDefault="00457F3C" w:rsidP="002E76BA">
      <w:pPr>
        <w:pStyle w:val="Heading2"/>
        <w:numPr>
          <w:ilvl w:val="1"/>
          <w:numId w:val="29"/>
        </w:numPr>
        <w:spacing w:before="100" w:beforeAutospacing="1" w:after="100" w:afterAutospacing="1" w:line="360" w:lineRule="auto"/>
        <w:rPr>
          <w:rStyle w:val="Strong"/>
          <w:rFonts w:asciiTheme="majorHAnsi" w:hAnsiTheme="majorHAnsi"/>
          <w:color w:val="2E74B5" w:themeColor="accent1" w:themeShade="BF"/>
          <w:sz w:val="26"/>
        </w:rPr>
      </w:pPr>
      <w:bookmarkStart w:id="17" w:name="_Toc457660145"/>
      <w:bookmarkStart w:id="18" w:name="_Toc32336013"/>
      <w:r w:rsidRPr="003F41FF">
        <w:rPr>
          <w:rStyle w:val="Strong"/>
          <w:rFonts w:asciiTheme="majorHAnsi" w:hAnsiTheme="majorHAnsi"/>
          <w:color w:val="2E74B5" w:themeColor="accent1" w:themeShade="BF"/>
          <w:sz w:val="26"/>
        </w:rPr>
        <w:t>Specific objectives of the study</w:t>
      </w:r>
      <w:bookmarkEnd w:id="17"/>
      <w:bookmarkEnd w:id="18"/>
    </w:p>
    <w:p w14:paraId="2E2AE7B8" w14:textId="09E42148" w:rsidR="002E76BA" w:rsidRPr="002E76BA" w:rsidRDefault="002E76BA" w:rsidP="002E76BA">
      <w:pPr>
        <w:spacing w:before="100" w:beforeAutospacing="1" w:after="100" w:afterAutospacing="1" w:line="360" w:lineRule="auto"/>
        <w:jc w:val="both"/>
        <w:rPr>
          <w:rFonts w:asciiTheme="majorHAnsi" w:hAnsiTheme="majorHAnsi" w:cstheme="majorHAnsi"/>
          <w:color w:val="000000" w:themeColor="text1"/>
          <w:sz w:val="22"/>
          <w:szCs w:val="22"/>
        </w:rPr>
      </w:pPr>
      <w:r w:rsidRPr="002E76BA">
        <w:rPr>
          <w:rFonts w:asciiTheme="majorHAnsi" w:hAnsiTheme="majorHAnsi" w:cstheme="majorHAnsi"/>
          <w:color w:val="000000" w:themeColor="text1"/>
          <w:sz w:val="22"/>
          <w:szCs w:val="22"/>
        </w:rPr>
        <w:t xml:space="preserve">How does adherence to primaquine </w:t>
      </w:r>
      <w:r w:rsidR="00821BB9">
        <w:rPr>
          <w:rFonts w:asciiTheme="majorHAnsi" w:hAnsiTheme="majorHAnsi" w:cstheme="majorHAnsi"/>
          <w:color w:val="000000" w:themeColor="text1"/>
          <w:sz w:val="22"/>
          <w:szCs w:val="22"/>
        </w:rPr>
        <w:t>effect</w:t>
      </w:r>
      <w:r w:rsidRPr="002E76BA">
        <w:rPr>
          <w:rFonts w:asciiTheme="majorHAnsi" w:hAnsiTheme="majorHAnsi" w:cstheme="majorHAnsi"/>
          <w:color w:val="000000" w:themeColor="text1"/>
          <w:sz w:val="22"/>
          <w:szCs w:val="22"/>
        </w:rPr>
        <w:t xml:space="preserve"> the risk of recurrence following treatment of </w:t>
      </w:r>
      <w:r w:rsidRPr="00021441">
        <w:rPr>
          <w:rFonts w:asciiTheme="majorHAnsi" w:hAnsiTheme="majorHAnsi" w:cstheme="majorHAnsi"/>
          <w:i/>
          <w:iCs/>
          <w:color w:val="000000" w:themeColor="text1"/>
          <w:sz w:val="22"/>
          <w:szCs w:val="22"/>
        </w:rPr>
        <w:t>Plasmodium vivax</w:t>
      </w:r>
      <w:r w:rsidRPr="002E76BA">
        <w:rPr>
          <w:rFonts w:asciiTheme="majorHAnsi" w:hAnsiTheme="majorHAnsi" w:cstheme="majorHAnsi"/>
          <w:color w:val="000000" w:themeColor="text1"/>
          <w:sz w:val="22"/>
          <w:szCs w:val="22"/>
        </w:rPr>
        <w:t>?</w:t>
      </w:r>
    </w:p>
    <w:p w14:paraId="3F083D3C" w14:textId="77777777" w:rsidR="002E76BA" w:rsidRPr="002E76BA" w:rsidRDefault="002E76BA" w:rsidP="002E76BA">
      <w:pPr>
        <w:spacing w:before="100" w:beforeAutospacing="1" w:after="100" w:afterAutospacing="1" w:line="360" w:lineRule="auto"/>
        <w:jc w:val="both"/>
        <w:rPr>
          <w:rFonts w:asciiTheme="majorHAnsi" w:hAnsiTheme="majorHAnsi" w:cstheme="majorHAnsi"/>
          <w:color w:val="000000" w:themeColor="text1"/>
          <w:sz w:val="22"/>
          <w:szCs w:val="22"/>
        </w:rPr>
      </w:pPr>
      <w:r w:rsidRPr="002E76BA">
        <w:rPr>
          <w:rFonts w:asciiTheme="majorHAnsi" w:hAnsiTheme="majorHAnsi" w:cstheme="majorHAnsi"/>
          <w:color w:val="000000" w:themeColor="text1"/>
          <w:sz w:val="22"/>
          <w:szCs w:val="22"/>
        </w:rPr>
        <w:t xml:space="preserve">Two specific objectives will be assessed:  </w:t>
      </w:r>
    </w:p>
    <w:p w14:paraId="3A21F3E6" w14:textId="38065BE2" w:rsidR="002E76BA" w:rsidRPr="002E76BA" w:rsidRDefault="002E76BA" w:rsidP="002E76BA">
      <w:pPr>
        <w:pStyle w:val="ListParagraph"/>
        <w:numPr>
          <w:ilvl w:val="0"/>
          <w:numId w:val="38"/>
        </w:numPr>
        <w:spacing w:before="100" w:beforeAutospacing="1" w:after="100" w:afterAutospacing="1" w:line="360" w:lineRule="auto"/>
        <w:jc w:val="both"/>
        <w:rPr>
          <w:rFonts w:asciiTheme="majorHAnsi" w:hAnsiTheme="majorHAnsi" w:cstheme="majorHAnsi"/>
          <w:color w:val="000000" w:themeColor="text1"/>
        </w:rPr>
      </w:pPr>
      <w:r w:rsidRPr="002E76BA">
        <w:rPr>
          <w:rFonts w:asciiTheme="majorHAnsi" w:hAnsiTheme="majorHAnsi" w:cstheme="majorHAnsi"/>
          <w:color w:val="000000" w:themeColor="text1"/>
        </w:rPr>
        <w:t xml:space="preserve">Determine the association between </w:t>
      </w:r>
      <w:r w:rsidRPr="00021441">
        <w:rPr>
          <w:rFonts w:asciiTheme="majorHAnsi" w:hAnsiTheme="majorHAnsi" w:cstheme="majorHAnsi"/>
          <w:i/>
          <w:iCs/>
          <w:color w:val="000000" w:themeColor="text1"/>
        </w:rPr>
        <w:t>P. vivax</w:t>
      </w:r>
      <w:r w:rsidRPr="002E76BA">
        <w:rPr>
          <w:rFonts w:asciiTheme="majorHAnsi" w:hAnsiTheme="majorHAnsi" w:cstheme="majorHAnsi"/>
          <w:color w:val="000000" w:themeColor="text1"/>
        </w:rPr>
        <w:t xml:space="preserve"> recurrence (defined as a recurrent episode between day 7 and 42) and imperfect adherence to </w:t>
      </w:r>
      <w:r w:rsidR="00821BB9">
        <w:rPr>
          <w:rFonts w:asciiTheme="majorHAnsi" w:hAnsiTheme="majorHAnsi" w:cstheme="majorHAnsi"/>
          <w:color w:val="000000" w:themeColor="text1"/>
        </w:rPr>
        <w:t>primaquine</w:t>
      </w:r>
      <w:r w:rsidRPr="002E76BA">
        <w:rPr>
          <w:rFonts w:asciiTheme="majorHAnsi" w:hAnsiTheme="majorHAnsi" w:cstheme="majorHAnsi"/>
          <w:color w:val="000000" w:themeColor="text1"/>
        </w:rPr>
        <w:t xml:space="preserve"> regimens</w:t>
      </w:r>
    </w:p>
    <w:p w14:paraId="382F92EF" w14:textId="6E8C6A06" w:rsidR="002E76BA" w:rsidRPr="007D0A74" w:rsidRDefault="002E76BA" w:rsidP="007D0A74">
      <w:pPr>
        <w:pStyle w:val="ListParagraph"/>
        <w:numPr>
          <w:ilvl w:val="0"/>
          <w:numId w:val="38"/>
        </w:numPr>
        <w:spacing w:before="100" w:beforeAutospacing="1" w:after="100" w:afterAutospacing="1" w:line="360" w:lineRule="auto"/>
        <w:jc w:val="both"/>
        <w:rPr>
          <w:rFonts w:asciiTheme="majorHAnsi" w:hAnsiTheme="majorHAnsi" w:cstheme="majorHAnsi"/>
          <w:color w:val="000000" w:themeColor="text1"/>
        </w:rPr>
      </w:pPr>
      <w:r w:rsidRPr="002E76BA">
        <w:rPr>
          <w:rFonts w:asciiTheme="majorHAnsi" w:hAnsiTheme="majorHAnsi" w:cstheme="majorHAnsi"/>
          <w:color w:val="000000" w:themeColor="text1"/>
        </w:rPr>
        <w:t xml:space="preserve">Identify the key patient factors that contribute to imperfect adherence, including demographics and disease-related factors. </w:t>
      </w:r>
    </w:p>
    <w:p w14:paraId="04309385" w14:textId="7FA0000C" w:rsidR="00457F3C" w:rsidRPr="003F41FF" w:rsidRDefault="00457F3C" w:rsidP="00AF7B28">
      <w:pPr>
        <w:pStyle w:val="Heading2"/>
        <w:numPr>
          <w:ilvl w:val="1"/>
          <w:numId w:val="29"/>
        </w:numPr>
        <w:spacing w:before="100" w:beforeAutospacing="1" w:after="100" w:afterAutospacing="1" w:line="360" w:lineRule="auto"/>
        <w:rPr>
          <w:rStyle w:val="Strong"/>
          <w:rFonts w:asciiTheme="majorHAnsi" w:hAnsiTheme="majorHAnsi"/>
          <w:color w:val="2E74B5" w:themeColor="accent1" w:themeShade="BF"/>
          <w:sz w:val="26"/>
        </w:rPr>
      </w:pPr>
      <w:bookmarkStart w:id="19" w:name="_Toc457660146"/>
      <w:bookmarkStart w:id="20" w:name="_Toc32336014"/>
      <w:r w:rsidRPr="003F41FF">
        <w:rPr>
          <w:rStyle w:val="Strong"/>
          <w:rFonts w:asciiTheme="majorHAnsi" w:hAnsiTheme="majorHAnsi"/>
          <w:color w:val="2E74B5" w:themeColor="accent1" w:themeShade="BF"/>
          <w:sz w:val="26"/>
        </w:rPr>
        <w:lastRenderedPageBreak/>
        <w:t>Study endpoints</w:t>
      </w:r>
      <w:bookmarkEnd w:id="19"/>
      <w:bookmarkEnd w:id="20"/>
    </w:p>
    <w:p w14:paraId="5697FA54" w14:textId="77777777" w:rsidR="00457F3C" w:rsidRPr="00E01580" w:rsidRDefault="00457F3C" w:rsidP="00E01580">
      <w:pPr>
        <w:spacing w:before="100" w:beforeAutospacing="1" w:after="100" w:afterAutospacing="1" w:line="360" w:lineRule="auto"/>
        <w:rPr>
          <w:rStyle w:val="Strong"/>
          <w:rFonts w:asciiTheme="majorHAnsi" w:hAnsiTheme="majorHAnsi" w:cstheme="majorHAnsi"/>
          <w:b/>
          <w:bCs/>
          <w:i/>
          <w:iCs/>
          <w:color w:val="000000" w:themeColor="text1"/>
          <w:szCs w:val="22"/>
        </w:rPr>
      </w:pPr>
      <w:r w:rsidRPr="00E01580">
        <w:rPr>
          <w:rFonts w:asciiTheme="minorHAnsi" w:hAnsiTheme="minorHAnsi" w:cstheme="minorHAnsi"/>
          <w:i/>
        </w:rPr>
        <w:t>Primary:</w:t>
      </w:r>
      <w:r w:rsidRPr="00E01580">
        <w:rPr>
          <w:rStyle w:val="Strong"/>
          <w:rFonts w:asciiTheme="majorHAnsi" w:hAnsiTheme="majorHAnsi" w:cstheme="majorHAnsi"/>
          <w:b/>
          <w:bCs/>
          <w:color w:val="000000" w:themeColor="text1"/>
          <w:szCs w:val="22"/>
        </w:rPr>
        <w:t xml:space="preserve"> </w:t>
      </w:r>
    </w:p>
    <w:p w14:paraId="75107E5C" w14:textId="4E88E3DB" w:rsidR="00457F3C" w:rsidRPr="000C4838" w:rsidRDefault="005F035E" w:rsidP="00AF7B28">
      <w:pPr>
        <w:widowControl w:val="0"/>
        <w:autoSpaceDE w:val="0"/>
        <w:autoSpaceDN w:val="0"/>
        <w:adjustRightInd w:val="0"/>
        <w:spacing w:before="100" w:beforeAutospacing="1" w:after="100" w:afterAutospacing="1" w:line="360" w:lineRule="auto"/>
        <w:ind w:left="360"/>
        <w:jc w:val="both"/>
        <w:rPr>
          <w:rFonts w:asciiTheme="majorHAnsi" w:hAnsiTheme="majorHAnsi" w:cstheme="majorHAnsi"/>
          <w:color w:val="000000" w:themeColor="text1"/>
          <w:sz w:val="22"/>
          <w:szCs w:val="22"/>
        </w:rPr>
      </w:pPr>
      <w:r w:rsidRPr="000C4838">
        <w:rPr>
          <w:rFonts w:asciiTheme="majorHAnsi" w:hAnsiTheme="majorHAnsi" w:cstheme="majorHAnsi"/>
          <w:i/>
          <w:iCs/>
          <w:color w:val="000000" w:themeColor="text1"/>
          <w:sz w:val="22"/>
          <w:szCs w:val="22"/>
        </w:rPr>
        <w:t>P.</w:t>
      </w:r>
      <w:r w:rsidR="00A86764" w:rsidRPr="000C4838">
        <w:rPr>
          <w:rFonts w:asciiTheme="majorHAnsi" w:hAnsiTheme="majorHAnsi" w:cstheme="majorHAnsi"/>
          <w:i/>
          <w:iCs/>
          <w:color w:val="000000" w:themeColor="text1"/>
          <w:sz w:val="22"/>
          <w:szCs w:val="22"/>
        </w:rPr>
        <w:t xml:space="preserve"> </w:t>
      </w:r>
      <w:r w:rsidRPr="000C4838">
        <w:rPr>
          <w:rFonts w:asciiTheme="majorHAnsi" w:hAnsiTheme="majorHAnsi" w:cstheme="majorHAnsi"/>
          <w:i/>
          <w:iCs/>
          <w:color w:val="000000" w:themeColor="text1"/>
          <w:sz w:val="22"/>
          <w:szCs w:val="22"/>
        </w:rPr>
        <w:t>vivax</w:t>
      </w:r>
      <w:r w:rsidRPr="000C4838">
        <w:rPr>
          <w:rFonts w:asciiTheme="majorHAnsi" w:hAnsiTheme="majorHAnsi" w:cstheme="majorHAnsi"/>
          <w:color w:val="000000" w:themeColor="text1"/>
          <w:sz w:val="22"/>
          <w:szCs w:val="22"/>
        </w:rPr>
        <w:t xml:space="preserve"> recurrence </w:t>
      </w:r>
      <w:r w:rsidR="00A86764" w:rsidRPr="000C4838">
        <w:rPr>
          <w:rFonts w:asciiTheme="majorHAnsi" w:hAnsiTheme="majorHAnsi" w:cstheme="majorHAnsi"/>
          <w:color w:val="000000" w:themeColor="text1"/>
          <w:sz w:val="22"/>
          <w:szCs w:val="22"/>
        </w:rPr>
        <w:t>between</w:t>
      </w:r>
      <w:r w:rsidRPr="000C4838">
        <w:rPr>
          <w:rFonts w:asciiTheme="majorHAnsi" w:hAnsiTheme="majorHAnsi" w:cstheme="majorHAnsi"/>
          <w:color w:val="000000" w:themeColor="text1"/>
          <w:sz w:val="22"/>
          <w:szCs w:val="22"/>
        </w:rPr>
        <w:t xml:space="preserve"> days 7 </w:t>
      </w:r>
      <w:r w:rsidR="00A86764" w:rsidRPr="000C4838">
        <w:rPr>
          <w:rFonts w:asciiTheme="majorHAnsi" w:hAnsiTheme="majorHAnsi" w:cstheme="majorHAnsi"/>
          <w:color w:val="000000" w:themeColor="text1"/>
          <w:sz w:val="22"/>
          <w:szCs w:val="22"/>
        </w:rPr>
        <w:t xml:space="preserve">and </w:t>
      </w:r>
      <w:r w:rsidRPr="000C4838">
        <w:rPr>
          <w:rFonts w:asciiTheme="majorHAnsi" w:hAnsiTheme="majorHAnsi" w:cstheme="majorHAnsi"/>
          <w:color w:val="000000" w:themeColor="text1"/>
          <w:sz w:val="22"/>
          <w:szCs w:val="22"/>
        </w:rPr>
        <w:t>42</w:t>
      </w:r>
      <w:r w:rsidR="00E12DF5" w:rsidRPr="000C4838">
        <w:rPr>
          <w:rFonts w:asciiTheme="majorHAnsi" w:hAnsiTheme="majorHAnsi" w:cstheme="majorHAnsi"/>
          <w:color w:val="000000" w:themeColor="text1"/>
          <w:sz w:val="22"/>
          <w:szCs w:val="22"/>
        </w:rPr>
        <w:t xml:space="preserve"> of follow up</w:t>
      </w:r>
      <w:r w:rsidRPr="000C4838">
        <w:rPr>
          <w:rFonts w:asciiTheme="majorHAnsi" w:hAnsiTheme="majorHAnsi" w:cstheme="majorHAnsi"/>
          <w:color w:val="000000" w:themeColor="text1"/>
          <w:sz w:val="22"/>
          <w:szCs w:val="22"/>
        </w:rPr>
        <w:t xml:space="preserve">. </w:t>
      </w:r>
    </w:p>
    <w:p w14:paraId="14CC886F" w14:textId="77777777" w:rsidR="00457F3C" w:rsidRPr="00E01580" w:rsidRDefault="00457F3C" w:rsidP="00AF7B28">
      <w:pPr>
        <w:spacing w:before="100" w:beforeAutospacing="1" w:after="100" w:afterAutospacing="1" w:line="360" w:lineRule="auto"/>
        <w:rPr>
          <w:rFonts w:asciiTheme="minorHAnsi" w:hAnsiTheme="minorHAnsi" w:cstheme="minorHAnsi"/>
          <w:i/>
        </w:rPr>
      </w:pPr>
      <w:r w:rsidRPr="00E01580">
        <w:rPr>
          <w:rFonts w:asciiTheme="minorHAnsi" w:hAnsiTheme="minorHAnsi" w:cstheme="minorHAnsi"/>
          <w:i/>
        </w:rPr>
        <w:t xml:space="preserve">Secondary: </w:t>
      </w:r>
    </w:p>
    <w:p w14:paraId="737CD102" w14:textId="332086AA" w:rsidR="00E12DF5" w:rsidRPr="000C4838" w:rsidRDefault="005F035E" w:rsidP="00AF7B28">
      <w:pPr>
        <w:widowControl w:val="0"/>
        <w:autoSpaceDE w:val="0"/>
        <w:autoSpaceDN w:val="0"/>
        <w:adjustRightInd w:val="0"/>
        <w:spacing w:before="100" w:beforeAutospacing="1" w:after="100" w:afterAutospacing="1" w:line="360" w:lineRule="auto"/>
        <w:ind w:left="360"/>
        <w:jc w:val="both"/>
        <w:rPr>
          <w:rFonts w:asciiTheme="majorHAnsi" w:hAnsiTheme="majorHAnsi" w:cstheme="majorHAnsi"/>
          <w:color w:val="000000" w:themeColor="text1"/>
          <w:sz w:val="22"/>
          <w:szCs w:val="22"/>
        </w:rPr>
      </w:pPr>
      <w:r w:rsidRPr="000C4838">
        <w:rPr>
          <w:rFonts w:asciiTheme="majorHAnsi" w:hAnsiTheme="majorHAnsi" w:cstheme="majorHAnsi"/>
          <w:i/>
          <w:iCs/>
          <w:color w:val="000000" w:themeColor="text1"/>
          <w:sz w:val="22"/>
          <w:szCs w:val="22"/>
        </w:rPr>
        <w:t>P.</w:t>
      </w:r>
      <w:r w:rsidR="00A86764" w:rsidRPr="000C4838">
        <w:rPr>
          <w:rFonts w:asciiTheme="majorHAnsi" w:hAnsiTheme="majorHAnsi" w:cstheme="majorHAnsi"/>
          <w:i/>
          <w:iCs/>
          <w:color w:val="000000" w:themeColor="text1"/>
          <w:sz w:val="22"/>
          <w:szCs w:val="22"/>
        </w:rPr>
        <w:t xml:space="preserve"> </w:t>
      </w:r>
      <w:r w:rsidRPr="000C4838">
        <w:rPr>
          <w:rFonts w:asciiTheme="majorHAnsi" w:hAnsiTheme="majorHAnsi" w:cstheme="majorHAnsi"/>
          <w:i/>
          <w:iCs/>
          <w:color w:val="000000" w:themeColor="text1"/>
          <w:sz w:val="22"/>
          <w:szCs w:val="22"/>
        </w:rPr>
        <w:t>vivax</w:t>
      </w:r>
      <w:r w:rsidRPr="000C4838">
        <w:rPr>
          <w:rFonts w:asciiTheme="majorHAnsi" w:hAnsiTheme="majorHAnsi" w:cstheme="majorHAnsi"/>
          <w:color w:val="000000" w:themeColor="text1"/>
          <w:sz w:val="22"/>
          <w:szCs w:val="22"/>
        </w:rPr>
        <w:t xml:space="preserve"> recurrence </w:t>
      </w:r>
      <w:r w:rsidR="00A86764" w:rsidRPr="000C4838">
        <w:rPr>
          <w:rFonts w:asciiTheme="majorHAnsi" w:hAnsiTheme="majorHAnsi" w:cstheme="majorHAnsi"/>
          <w:color w:val="000000" w:themeColor="text1"/>
          <w:sz w:val="22"/>
          <w:szCs w:val="22"/>
        </w:rPr>
        <w:t>between</w:t>
      </w:r>
      <w:r w:rsidRPr="000C4838">
        <w:rPr>
          <w:rFonts w:asciiTheme="majorHAnsi" w:hAnsiTheme="majorHAnsi" w:cstheme="majorHAnsi"/>
          <w:color w:val="000000" w:themeColor="text1"/>
          <w:sz w:val="22"/>
          <w:szCs w:val="22"/>
        </w:rPr>
        <w:t xml:space="preserve"> days </w:t>
      </w:r>
      <w:r w:rsidR="00E12DF5" w:rsidRPr="000C4838">
        <w:rPr>
          <w:rFonts w:asciiTheme="majorHAnsi" w:hAnsiTheme="majorHAnsi" w:cstheme="majorHAnsi"/>
          <w:color w:val="000000" w:themeColor="text1"/>
          <w:sz w:val="22"/>
          <w:szCs w:val="22"/>
        </w:rPr>
        <w:t>7 and 28</w:t>
      </w:r>
      <w:r w:rsidR="00C16237">
        <w:rPr>
          <w:rFonts w:asciiTheme="majorHAnsi" w:hAnsiTheme="majorHAnsi" w:cstheme="majorHAnsi"/>
          <w:color w:val="000000" w:themeColor="text1"/>
          <w:sz w:val="22"/>
          <w:szCs w:val="22"/>
        </w:rPr>
        <w:t>,</w:t>
      </w:r>
      <w:r w:rsidR="00E12DF5" w:rsidRPr="000C4838">
        <w:rPr>
          <w:rFonts w:asciiTheme="majorHAnsi" w:hAnsiTheme="majorHAnsi" w:cstheme="majorHAnsi"/>
          <w:color w:val="000000" w:themeColor="text1"/>
          <w:sz w:val="22"/>
          <w:szCs w:val="22"/>
        </w:rPr>
        <w:t xml:space="preserve"> and days </w:t>
      </w:r>
      <w:r w:rsidRPr="000C4838">
        <w:rPr>
          <w:rFonts w:asciiTheme="majorHAnsi" w:hAnsiTheme="majorHAnsi" w:cstheme="majorHAnsi"/>
          <w:color w:val="000000" w:themeColor="text1"/>
          <w:sz w:val="22"/>
          <w:szCs w:val="22"/>
        </w:rPr>
        <w:t xml:space="preserve">7 </w:t>
      </w:r>
      <w:r w:rsidR="00A86764" w:rsidRPr="000C4838">
        <w:rPr>
          <w:rFonts w:asciiTheme="majorHAnsi" w:hAnsiTheme="majorHAnsi" w:cstheme="majorHAnsi"/>
          <w:color w:val="000000" w:themeColor="text1"/>
          <w:sz w:val="22"/>
          <w:szCs w:val="22"/>
        </w:rPr>
        <w:t xml:space="preserve">and </w:t>
      </w:r>
      <w:r w:rsidRPr="000C4838">
        <w:rPr>
          <w:rFonts w:asciiTheme="majorHAnsi" w:hAnsiTheme="majorHAnsi" w:cstheme="majorHAnsi"/>
          <w:color w:val="000000" w:themeColor="text1"/>
          <w:sz w:val="22"/>
          <w:szCs w:val="22"/>
        </w:rPr>
        <w:t>63.</w:t>
      </w:r>
    </w:p>
    <w:p w14:paraId="743E3D37" w14:textId="2A02E795" w:rsidR="00457F3C" w:rsidRPr="003F41FF" w:rsidRDefault="00457F3C" w:rsidP="00AF7B28">
      <w:pPr>
        <w:pStyle w:val="Heading2"/>
        <w:numPr>
          <w:ilvl w:val="1"/>
          <w:numId w:val="29"/>
        </w:numPr>
        <w:spacing w:before="100" w:beforeAutospacing="1" w:after="100" w:afterAutospacing="1" w:line="360" w:lineRule="auto"/>
        <w:rPr>
          <w:rFonts w:asciiTheme="majorHAnsi" w:hAnsiTheme="majorHAnsi"/>
          <w:color w:val="0070C0"/>
          <w:sz w:val="26"/>
          <w:szCs w:val="26"/>
        </w:rPr>
      </w:pPr>
      <w:bookmarkStart w:id="21" w:name="_Toc457660147"/>
      <w:r w:rsidRPr="003F41FF">
        <w:rPr>
          <w:rFonts w:asciiTheme="majorHAnsi" w:hAnsiTheme="majorHAnsi"/>
          <w:color w:val="0070C0"/>
          <w:sz w:val="26"/>
          <w:szCs w:val="26"/>
        </w:rPr>
        <w:t xml:space="preserve"> </w:t>
      </w:r>
      <w:bookmarkStart w:id="22" w:name="_Toc32336015"/>
      <w:r w:rsidRPr="003F41FF">
        <w:rPr>
          <w:rFonts w:asciiTheme="majorHAnsi" w:hAnsiTheme="majorHAnsi"/>
          <w:color w:val="0070C0"/>
          <w:sz w:val="26"/>
          <w:szCs w:val="26"/>
        </w:rPr>
        <w:t>Definitions</w:t>
      </w:r>
      <w:bookmarkEnd w:id="21"/>
      <w:bookmarkEnd w:id="22"/>
    </w:p>
    <w:p w14:paraId="31EBE26A" w14:textId="0E1455E3" w:rsidR="00FC6BF0" w:rsidRPr="00E01580" w:rsidRDefault="00316D16" w:rsidP="00AF7B28">
      <w:pPr>
        <w:spacing w:before="100" w:beforeAutospacing="1" w:after="100" w:afterAutospacing="1" w:line="360" w:lineRule="auto"/>
        <w:rPr>
          <w:rFonts w:asciiTheme="minorHAnsi" w:hAnsiTheme="minorHAnsi" w:cstheme="minorHAnsi"/>
          <w:i/>
        </w:rPr>
      </w:pPr>
      <w:r>
        <w:rPr>
          <w:rFonts w:asciiTheme="minorHAnsi" w:hAnsiTheme="minorHAnsi" w:cstheme="minorHAnsi"/>
          <w:i/>
        </w:rPr>
        <w:t xml:space="preserve">2.3.1 </w:t>
      </w:r>
      <w:r w:rsidR="00FC6BF0" w:rsidRPr="00E01580">
        <w:rPr>
          <w:rFonts w:asciiTheme="minorHAnsi" w:hAnsiTheme="minorHAnsi" w:cstheme="minorHAnsi"/>
          <w:i/>
        </w:rPr>
        <w:t>Primary</w:t>
      </w:r>
      <w:r w:rsidR="00745D9D" w:rsidRPr="00E01580">
        <w:rPr>
          <w:rFonts w:asciiTheme="minorHAnsi" w:hAnsiTheme="minorHAnsi" w:cstheme="minorHAnsi"/>
          <w:i/>
        </w:rPr>
        <w:t xml:space="preserve"> outcome</w:t>
      </w:r>
    </w:p>
    <w:p w14:paraId="36E6988A" w14:textId="47A5B59A" w:rsidR="00FC6BF0" w:rsidRPr="000228F9" w:rsidRDefault="00FC6BF0" w:rsidP="00AF7B28">
      <w:pPr>
        <w:spacing w:before="100" w:beforeAutospacing="1" w:after="100" w:afterAutospacing="1" w:line="360" w:lineRule="auto"/>
        <w:rPr>
          <w:rFonts w:asciiTheme="majorHAnsi" w:hAnsiTheme="majorHAnsi" w:cstheme="majorHAnsi"/>
          <w:color w:val="000000" w:themeColor="text1"/>
          <w:sz w:val="22"/>
          <w:szCs w:val="22"/>
        </w:rPr>
      </w:pPr>
      <w:r w:rsidRPr="000228F9">
        <w:rPr>
          <w:rFonts w:asciiTheme="majorHAnsi" w:hAnsiTheme="majorHAnsi" w:cstheme="majorHAnsi"/>
          <w:i/>
          <w:iCs/>
          <w:color w:val="000000" w:themeColor="text1"/>
          <w:sz w:val="22"/>
          <w:szCs w:val="22"/>
        </w:rPr>
        <w:t xml:space="preserve">P. vivax </w:t>
      </w:r>
      <w:r w:rsidRPr="000228F9">
        <w:rPr>
          <w:rFonts w:asciiTheme="majorHAnsi" w:hAnsiTheme="majorHAnsi" w:cstheme="majorHAnsi"/>
          <w:iCs/>
          <w:color w:val="000000" w:themeColor="text1"/>
          <w:sz w:val="22"/>
          <w:szCs w:val="22"/>
        </w:rPr>
        <w:t>recurrence before day</w:t>
      </w:r>
      <w:r w:rsidRPr="000228F9">
        <w:rPr>
          <w:rFonts w:asciiTheme="majorHAnsi" w:hAnsiTheme="majorHAnsi" w:cstheme="majorHAnsi"/>
          <w:color w:val="000000" w:themeColor="text1"/>
          <w:sz w:val="22"/>
          <w:szCs w:val="22"/>
        </w:rPr>
        <w:t xml:space="preserve"> </w:t>
      </w:r>
      <w:r w:rsidR="00423345" w:rsidRPr="000228F9">
        <w:rPr>
          <w:rFonts w:asciiTheme="majorHAnsi" w:hAnsiTheme="majorHAnsi" w:cstheme="majorHAnsi"/>
          <w:color w:val="000000" w:themeColor="text1"/>
          <w:sz w:val="22"/>
          <w:szCs w:val="22"/>
        </w:rPr>
        <w:t>42</w:t>
      </w:r>
      <w:r w:rsidRPr="000228F9">
        <w:rPr>
          <w:rFonts w:asciiTheme="majorHAnsi" w:hAnsiTheme="majorHAnsi" w:cstheme="majorHAnsi"/>
          <w:i/>
          <w:iCs/>
          <w:color w:val="000000" w:themeColor="text1"/>
          <w:sz w:val="22"/>
          <w:szCs w:val="22"/>
        </w:rPr>
        <w:t xml:space="preserve"> </w:t>
      </w:r>
      <w:r w:rsidRPr="000228F9">
        <w:rPr>
          <w:rFonts w:asciiTheme="majorHAnsi" w:hAnsiTheme="majorHAnsi" w:cstheme="majorHAnsi"/>
          <w:iCs/>
          <w:color w:val="000000" w:themeColor="text1"/>
          <w:sz w:val="22"/>
          <w:szCs w:val="22"/>
        </w:rPr>
        <w:t>is defined as any recurrence</w:t>
      </w:r>
      <w:r w:rsidRPr="000228F9">
        <w:rPr>
          <w:rFonts w:asciiTheme="majorHAnsi" w:hAnsiTheme="majorHAnsi" w:cstheme="majorHAnsi"/>
          <w:i/>
          <w:iCs/>
          <w:color w:val="000000" w:themeColor="text1"/>
          <w:sz w:val="22"/>
          <w:szCs w:val="22"/>
        </w:rPr>
        <w:t xml:space="preserve"> </w:t>
      </w:r>
      <w:r w:rsidRPr="000228F9">
        <w:rPr>
          <w:rFonts w:asciiTheme="majorHAnsi" w:hAnsiTheme="majorHAnsi" w:cstheme="majorHAnsi"/>
          <w:color w:val="000000" w:themeColor="text1"/>
          <w:sz w:val="22"/>
          <w:szCs w:val="22"/>
        </w:rPr>
        <w:t xml:space="preserve">of </w:t>
      </w:r>
      <w:r w:rsidRPr="000228F9">
        <w:rPr>
          <w:rFonts w:asciiTheme="majorHAnsi" w:hAnsiTheme="majorHAnsi" w:cstheme="majorHAnsi"/>
          <w:i/>
          <w:color w:val="000000" w:themeColor="text1"/>
          <w:sz w:val="22"/>
          <w:szCs w:val="22"/>
        </w:rPr>
        <w:t>P. vivax</w:t>
      </w:r>
      <w:r w:rsidR="006C750B" w:rsidRPr="000228F9">
        <w:rPr>
          <w:rFonts w:asciiTheme="majorHAnsi" w:hAnsiTheme="majorHAnsi" w:cstheme="majorHAnsi"/>
          <w:color w:val="000000" w:themeColor="text1"/>
          <w:sz w:val="22"/>
          <w:szCs w:val="22"/>
        </w:rPr>
        <w:t xml:space="preserve"> parasitaemia between day</w:t>
      </w:r>
      <w:r w:rsidR="00C16237">
        <w:rPr>
          <w:rFonts w:asciiTheme="majorHAnsi" w:hAnsiTheme="majorHAnsi" w:cstheme="majorHAnsi"/>
          <w:color w:val="000000" w:themeColor="text1"/>
          <w:sz w:val="22"/>
          <w:szCs w:val="22"/>
        </w:rPr>
        <w:t>s</w:t>
      </w:r>
      <w:r w:rsidR="006C750B" w:rsidRPr="000228F9">
        <w:rPr>
          <w:rFonts w:asciiTheme="majorHAnsi" w:hAnsiTheme="majorHAnsi" w:cstheme="majorHAnsi"/>
          <w:color w:val="000000" w:themeColor="text1"/>
          <w:sz w:val="22"/>
          <w:szCs w:val="22"/>
        </w:rPr>
        <w:t xml:space="preserve"> 7</w:t>
      </w:r>
      <w:r w:rsidRPr="000228F9">
        <w:rPr>
          <w:rFonts w:asciiTheme="majorHAnsi" w:hAnsiTheme="majorHAnsi" w:cstheme="majorHAnsi"/>
          <w:color w:val="000000" w:themeColor="text1"/>
          <w:sz w:val="22"/>
          <w:szCs w:val="22"/>
        </w:rPr>
        <w:t xml:space="preserve"> and </w:t>
      </w:r>
      <w:r w:rsidR="00AB3D36" w:rsidRPr="000228F9">
        <w:rPr>
          <w:rFonts w:asciiTheme="majorHAnsi" w:hAnsiTheme="majorHAnsi" w:cstheme="majorHAnsi"/>
          <w:color w:val="000000" w:themeColor="text1"/>
          <w:sz w:val="22"/>
          <w:szCs w:val="22"/>
        </w:rPr>
        <w:t>42</w:t>
      </w:r>
      <w:r w:rsidR="00C16237">
        <w:rPr>
          <w:rFonts w:asciiTheme="majorHAnsi" w:hAnsiTheme="majorHAnsi" w:cstheme="majorHAnsi"/>
          <w:color w:val="000000" w:themeColor="text1"/>
          <w:sz w:val="22"/>
          <w:szCs w:val="22"/>
        </w:rPr>
        <w:t>.</w:t>
      </w:r>
      <w:r w:rsidRPr="000228F9">
        <w:rPr>
          <w:rFonts w:asciiTheme="majorHAnsi" w:hAnsiTheme="majorHAnsi" w:cstheme="majorHAnsi"/>
          <w:color w:val="000000" w:themeColor="text1"/>
          <w:sz w:val="22"/>
          <w:szCs w:val="22"/>
        </w:rPr>
        <w:t xml:space="preserve"> </w:t>
      </w:r>
    </w:p>
    <w:p w14:paraId="1B2D2A0F" w14:textId="169F1ECB" w:rsidR="00096D9B" w:rsidRPr="00E01580" w:rsidRDefault="00316D16" w:rsidP="00AF7B28">
      <w:pPr>
        <w:spacing w:before="100" w:beforeAutospacing="1" w:after="100" w:afterAutospacing="1" w:line="360" w:lineRule="auto"/>
        <w:rPr>
          <w:rFonts w:asciiTheme="minorHAnsi" w:hAnsiTheme="minorHAnsi" w:cstheme="minorHAnsi"/>
          <w:i/>
        </w:rPr>
      </w:pPr>
      <w:r>
        <w:rPr>
          <w:rFonts w:asciiTheme="minorHAnsi" w:hAnsiTheme="minorHAnsi" w:cstheme="minorHAnsi"/>
          <w:i/>
        </w:rPr>
        <w:t xml:space="preserve">2.3.2 </w:t>
      </w:r>
      <w:r w:rsidR="00096D9B" w:rsidRPr="00E01580">
        <w:rPr>
          <w:rFonts w:asciiTheme="minorHAnsi" w:hAnsiTheme="minorHAnsi" w:cstheme="minorHAnsi"/>
          <w:i/>
        </w:rPr>
        <w:t>Secondary</w:t>
      </w:r>
      <w:r w:rsidR="00745D9D" w:rsidRPr="00E01580">
        <w:rPr>
          <w:rFonts w:asciiTheme="minorHAnsi" w:hAnsiTheme="minorHAnsi" w:cstheme="minorHAnsi"/>
          <w:i/>
        </w:rPr>
        <w:t xml:space="preserve"> outcome</w:t>
      </w:r>
    </w:p>
    <w:p w14:paraId="2EB35213" w14:textId="145EE3A5" w:rsidR="00096D9B" w:rsidRPr="000228F9" w:rsidRDefault="00096D9B" w:rsidP="00AF7B28">
      <w:pPr>
        <w:spacing w:before="100" w:beforeAutospacing="1" w:after="100" w:afterAutospacing="1" w:line="360" w:lineRule="auto"/>
        <w:rPr>
          <w:rFonts w:asciiTheme="majorHAnsi" w:hAnsiTheme="majorHAnsi" w:cstheme="majorHAnsi"/>
          <w:color w:val="000000" w:themeColor="text1"/>
          <w:sz w:val="22"/>
          <w:szCs w:val="22"/>
        </w:rPr>
      </w:pPr>
      <w:r w:rsidRPr="000228F9">
        <w:rPr>
          <w:rFonts w:asciiTheme="majorHAnsi" w:hAnsiTheme="majorHAnsi" w:cstheme="majorHAnsi"/>
          <w:i/>
          <w:iCs/>
          <w:color w:val="000000" w:themeColor="text1"/>
          <w:sz w:val="22"/>
          <w:szCs w:val="22"/>
        </w:rPr>
        <w:t>P. vivax</w:t>
      </w:r>
      <w:r w:rsidRPr="000228F9">
        <w:rPr>
          <w:rFonts w:asciiTheme="majorHAnsi" w:hAnsiTheme="majorHAnsi" w:cstheme="majorHAnsi"/>
          <w:color w:val="000000" w:themeColor="text1"/>
          <w:sz w:val="22"/>
          <w:szCs w:val="22"/>
        </w:rPr>
        <w:t xml:space="preserve"> recurrence before day </w:t>
      </w:r>
      <w:r w:rsidR="00A16634">
        <w:rPr>
          <w:rFonts w:asciiTheme="majorHAnsi" w:hAnsiTheme="majorHAnsi" w:cstheme="majorHAnsi"/>
          <w:color w:val="000000" w:themeColor="text1"/>
          <w:sz w:val="22"/>
          <w:szCs w:val="22"/>
        </w:rPr>
        <w:t>28 (</w:t>
      </w:r>
      <w:r w:rsidRPr="000228F9">
        <w:rPr>
          <w:rFonts w:asciiTheme="majorHAnsi" w:hAnsiTheme="majorHAnsi" w:cstheme="majorHAnsi"/>
          <w:color w:val="000000" w:themeColor="text1"/>
          <w:sz w:val="22"/>
          <w:szCs w:val="22"/>
        </w:rPr>
        <w:t>63</w:t>
      </w:r>
      <w:r w:rsidR="00A16634">
        <w:rPr>
          <w:rFonts w:asciiTheme="majorHAnsi" w:hAnsiTheme="majorHAnsi" w:cstheme="majorHAnsi"/>
          <w:color w:val="000000" w:themeColor="text1"/>
          <w:sz w:val="22"/>
          <w:szCs w:val="22"/>
        </w:rPr>
        <w:t>)</w:t>
      </w:r>
      <w:r w:rsidRPr="000228F9">
        <w:rPr>
          <w:rFonts w:asciiTheme="majorHAnsi" w:hAnsiTheme="majorHAnsi" w:cstheme="majorHAnsi"/>
          <w:i/>
          <w:iCs/>
          <w:color w:val="000000" w:themeColor="text1"/>
          <w:sz w:val="22"/>
          <w:szCs w:val="22"/>
        </w:rPr>
        <w:t xml:space="preserve"> </w:t>
      </w:r>
      <w:r w:rsidRPr="000228F9">
        <w:rPr>
          <w:rFonts w:asciiTheme="majorHAnsi" w:hAnsiTheme="majorHAnsi" w:cstheme="majorHAnsi"/>
          <w:iCs/>
          <w:color w:val="000000" w:themeColor="text1"/>
          <w:sz w:val="22"/>
          <w:szCs w:val="22"/>
        </w:rPr>
        <w:t>is defined as any recurrence</w:t>
      </w:r>
      <w:r w:rsidRPr="000228F9">
        <w:rPr>
          <w:rFonts w:asciiTheme="majorHAnsi" w:hAnsiTheme="majorHAnsi" w:cstheme="majorHAnsi"/>
          <w:i/>
          <w:iCs/>
          <w:color w:val="000000" w:themeColor="text1"/>
          <w:sz w:val="22"/>
          <w:szCs w:val="22"/>
        </w:rPr>
        <w:t xml:space="preserve"> </w:t>
      </w:r>
      <w:r w:rsidRPr="000228F9">
        <w:rPr>
          <w:rFonts w:asciiTheme="majorHAnsi" w:hAnsiTheme="majorHAnsi" w:cstheme="majorHAnsi"/>
          <w:color w:val="000000" w:themeColor="text1"/>
          <w:sz w:val="22"/>
          <w:szCs w:val="22"/>
        </w:rPr>
        <w:t xml:space="preserve">of </w:t>
      </w:r>
      <w:r w:rsidRPr="000228F9">
        <w:rPr>
          <w:rFonts w:asciiTheme="majorHAnsi" w:hAnsiTheme="majorHAnsi" w:cstheme="majorHAnsi"/>
          <w:i/>
          <w:color w:val="000000" w:themeColor="text1"/>
          <w:sz w:val="22"/>
          <w:szCs w:val="22"/>
        </w:rPr>
        <w:t>P. vivax</w:t>
      </w:r>
      <w:r w:rsidRPr="000228F9">
        <w:rPr>
          <w:rFonts w:asciiTheme="majorHAnsi" w:hAnsiTheme="majorHAnsi" w:cstheme="majorHAnsi"/>
          <w:color w:val="000000" w:themeColor="text1"/>
          <w:sz w:val="22"/>
          <w:szCs w:val="22"/>
        </w:rPr>
        <w:t xml:space="preserve"> parasitaemia between day</w:t>
      </w:r>
      <w:r w:rsidR="00A16634">
        <w:rPr>
          <w:rFonts w:asciiTheme="majorHAnsi" w:hAnsiTheme="majorHAnsi" w:cstheme="majorHAnsi"/>
          <w:color w:val="000000" w:themeColor="text1"/>
          <w:sz w:val="22"/>
          <w:szCs w:val="22"/>
        </w:rPr>
        <w:t>s</w:t>
      </w:r>
      <w:r w:rsidRPr="000228F9">
        <w:rPr>
          <w:rFonts w:asciiTheme="majorHAnsi" w:hAnsiTheme="majorHAnsi" w:cstheme="majorHAnsi"/>
          <w:color w:val="000000" w:themeColor="text1"/>
          <w:sz w:val="22"/>
          <w:szCs w:val="22"/>
        </w:rPr>
        <w:t xml:space="preserve"> 7 and</w:t>
      </w:r>
      <w:r w:rsidR="00A16634">
        <w:rPr>
          <w:rFonts w:asciiTheme="majorHAnsi" w:hAnsiTheme="majorHAnsi" w:cstheme="majorHAnsi"/>
          <w:color w:val="000000" w:themeColor="text1"/>
          <w:sz w:val="22"/>
          <w:szCs w:val="22"/>
        </w:rPr>
        <w:t xml:space="preserve"> 28</w:t>
      </w:r>
      <w:r w:rsidRPr="000228F9">
        <w:rPr>
          <w:rFonts w:asciiTheme="majorHAnsi" w:hAnsiTheme="majorHAnsi" w:cstheme="majorHAnsi"/>
          <w:color w:val="000000" w:themeColor="text1"/>
          <w:sz w:val="22"/>
          <w:szCs w:val="22"/>
        </w:rPr>
        <w:t xml:space="preserve"> </w:t>
      </w:r>
      <w:r w:rsidR="00A16634">
        <w:rPr>
          <w:rFonts w:asciiTheme="majorHAnsi" w:hAnsiTheme="majorHAnsi" w:cstheme="majorHAnsi"/>
          <w:color w:val="000000" w:themeColor="text1"/>
          <w:sz w:val="22"/>
          <w:szCs w:val="22"/>
        </w:rPr>
        <w:t>(</w:t>
      </w:r>
      <w:r w:rsidRPr="000228F9">
        <w:rPr>
          <w:rFonts w:asciiTheme="majorHAnsi" w:hAnsiTheme="majorHAnsi" w:cstheme="majorHAnsi"/>
          <w:color w:val="000000" w:themeColor="text1"/>
          <w:sz w:val="22"/>
          <w:szCs w:val="22"/>
        </w:rPr>
        <w:t>63</w:t>
      </w:r>
      <w:r w:rsidR="00A16634">
        <w:rPr>
          <w:rFonts w:asciiTheme="majorHAnsi" w:hAnsiTheme="majorHAnsi" w:cstheme="majorHAnsi"/>
          <w:color w:val="000000" w:themeColor="text1"/>
          <w:sz w:val="22"/>
          <w:szCs w:val="22"/>
        </w:rPr>
        <w:t>).</w:t>
      </w:r>
      <w:r w:rsidRPr="000228F9">
        <w:rPr>
          <w:rFonts w:asciiTheme="majorHAnsi" w:hAnsiTheme="majorHAnsi" w:cstheme="majorHAnsi"/>
          <w:color w:val="000000" w:themeColor="text1"/>
          <w:sz w:val="22"/>
          <w:szCs w:val="22"/>
        </w:rPr>
        <w:t xml:space="preserve"> </w:t>
      </w:r>
    </w:p>
    <w:p w14:paraId="219D0351" w14:textId="3D4323E4" w:rsidR="00745D9D" w:rsidRPr="00E01580" w:rsidRDefault="00316D16" w:rsidP="00AF7B28">
      <w:pPr>
        <w:spacing w:before="100" w:beforeAutospacing="1" w:after="100" w:afterAutospacing="1" w:line="360" w:lineRule="auto"/>
        <w:rPr>
          <w:rFonts w:asciiTheme="minorHAnsi" w:hAnsiTheme="minorHAnsi" w:cstheme="minorHAnsi"/>
          <w:i/>
        </w:rPr>
      </w:pPr>
      <w:r>
        <w:rPr>
          <w:rFonts w:asciiTheme="minorHAnsi" w:hAnsiTheme="minorHAnsi" w:cstheme="minorHAnsi"/>
          <w:i/>
        </w:rPr>
        <w:t xml:space="preserve">2.3.3 </w:t>
      </w:r>
      <w:r w:rsidR="00745D9D" w:rsidRPr="00E01580">
        <w:rPr>
          <w:rFonts w:asciiTheme="minorHAnsi" w:hAnsiTheme="minorHAnsi" w:cstheme="minorHAnsi"/>
          <w:i/>
        </w:rPr>
        <w:t xml:space="preserve">Exposure of interest </w:t>
      </w:r>
      <w:r w:rsidR="00330A69" w:rsidRPr="00E01580">
        <w:rPr>
          <w:rFonts w:asciiTheme="minorHAnsi" w:hAnsiTheme="minorHAnsi" w:cstheme="minorHAnsi"/>
          <w:i/>
        </w:rPr>
        <w:t>–</w:t>
      </w:r>
      <w:r w:rsidR="00745D9D" w:rsidRPr="00E01580">
        <w:rPr>
          <w:rFonts w:asciiTheme="minorHAnsi" w:hAnsiTheme="minorHAnsi" w:cstheme="minorHAnsi"/>
          <w:i/>
        </w:rPr>
        <w:t xml:space="preserve"> adherence</w:t>
      </w:r>
    </w:p>
    <w:p w14:paraId="24C53CE6" w14:textId="706273EE" w:rsidR="00A4642F" w:rsidRPr="009E7116" w:rsidRDefault="007327C4" w:rsidP="00A4642F">
      <w:pPr>
        <w:widowControl w:val="0"/>
        <w:autoSpaceDE w:val="0"/>
        <w:autoSpaceDN w:val="0"/>
        <w:adjustRightInd w:val="0"/>
        <w:spacing w:before="100" w:beforeAutospacing="1" w:after="100" w:afterAutospacing="1" w:line="360" w:lineRule="auto"/>
        <w:jc w:val="both"/>
        <w:rPr>
          <w:rFonts w:asciiTheme="majorHAnsi" w:hAnsiTheme="majorHAnsi" w:cstheme="majorHAnsi"/>
          <w:sz w:val="22"/>
          <w:szCs w:val="22"/>
        </w:rPr>
      </w:pPr>
      <w:r w:rsidRPr="009E7116">
        <w:rPr>
          <w:rFonts w:asciiTheme="majorHAnsi" w:hAnsiTheme="majorHAnsi" w:cstheme="majorHAnsi"/>
          <w:sz w:val="22"/>
          <w:szCs w:val="22"/>
        </w:rPr>
        <w:t>Adherence to treatment is</w:t>
      </w:r>
      <w:r w:rsidR="00C31EA1" w:rsidRPr="009E7116">
        <w:rPr>
          <w:sz w:val="22"/>
          <w:szCs w:val="22"/>
        </w:rPr>
        <w:t xml:space="preserve"> </w:t>
      </w:r>
      <w:r w:rsidR="00C31EA1" w:rsidRPr="009E7116">
        <w:rPr>
          <w:rFonts w:asciiTheme="majorHAnsi" w:hAnsiTheme="majorHAnsi" w:cstheme="majorHAnsi"/>
          <w:sz w:val="22"/>
          <w:szCs w:val="22"/>
        </w:rPr>
        <w:t xml:space="preserve">an influential determinant </w:t>
      </w:r>
      <w:r w:rsidR="00052FD9">
        <w:rPr>
          <w:rFonts w:asciiTheme="majorHAnsi" w:hAnsiTheme="majorHAnsi" w:cstheme="majorHAnsi"/>
          <w:sz w:val="22"/>
          <w:szCs w:val="22"/>
        </w:rPr>
        <w:t>of efficacy</w:t>
      </w:r>
      <w:r w:rsidR="00A60B66">
        <w:rPr>
          <w:rFonts w:asciiTheme="majorHAnsi" w:hAnsiTheme="majorHAnsi" w:cstheme="majorHAnsi"/>
          <w:sz w:val="22"/>
          <w:szCs w:val="22"/>
        </w:rPr>
        <w:t xml:space="preserve"> in</w:t>
      </w:r>
      <w:r w:rsidR="00C31EA1" w:rsidRPr="009E7116">
        <w:rPr>
          <w:rFonts w:asciiTheme="majorHAnsi" w:hAnsiTheme="majorHAnsi" w:cstheme="majorHAnsi"/>
          <w:sz w:val="22"/>
          <w:szCs w:val="22"/>
        </w:rPr>
        <w:t xml:space="preserve"> clinical trial</w:t>
      </w:r>
      <w:r w:rsidR="00A60B66">
        <w:rPr>
          <w:rFonts w:asciiTheme="majorHAnsi" w:hAnsiTheme="majorHAnsi" w:cstheme="majorHAnsi"/>
          <w:sz w:val="22"/>
          <w:szCs w:val="22"/>
        </w:rPr>
        <w:t>s</w:t>
      </w:r>
      <w:r w:rsidR="004E673D">
        <w:rPr>
          <w:rFonts w:asciiTheme="majorHAnsi" w:hAnsiTheme="majorHAnsi" w:cstheme="majorHAnsi"/>
          <w:sz w:val="22"/>
          <w:szCs w:val="22"/>
        </w:rPr>
        <w:t>, however,</w:t>
      </w:r>
      <w:r w:rsidR="00C31EA1" w:rsidRPr="009E7116">
        <w:rPr>
          <w:rFonts w:asciiTheme="majorHAnsi" w:hAnsiTheme="majorHAnsi" w:cstheme="majorHAnsi"/>
          <w:sz w:val="22"/>
          <w:szCs w:val="22"/>
        </w:rPr>
        <w:t xml:space="preserve"> specific criteria for adherence to primaquine treatment regimens have not well described. </w:t>
      </w:r>
      <w:r w:rsidR="00397D4C">
        <w:rPr>
          <w:rFonts w:asciiTheme="majorHAnsi" w:hAnsiTheme="majorHAnsi" w:cstheme="majorHAnsi"/>
          <w:sz w:val="22"/>
          <w:szCs w:val="22"/>
        </w:rPr>
        <w:t xml:space="preserve">In this </w:t>
      </w:r>
      <w:r w:rsidR="00E97100">
        <w:rPr>
          <w:rFonts w:asciiTheme="majorHAnsi" w:hAnsiTheme="majorHAnsi" w:cstheme="majorHAnsi"/>
          <w:sz w:val="22"/>
          <w:szCs w:val="22"/>
        </w:rPr>
        <w:t>pooled analysis</w:t>
      </w:r>
      <w:r w:rsidR="00397D4C">
        <w:rPr>
          <w:rFonts w:asciiTheme="majorHAnsi" w:hAnsiTheme="majorHAnsi" w:cstheme="majorHAnsi"/>
          <w:sz w:val="22"/>
          <w:szCs w:val="22"/>
        </w:rPr>
        <w:t xml:space="preserve">, </w:t>
      </w:r>
      <w:r w:rsidR="00A4642F" w:rsidRPr="009E7116">
        <w:rPr>
          <w:rFonts w:asciiTheme="majorHAnsi" w:hAnsiTheme="majorHAnsi" w:cstheme="majorHAnsi"/>
          <w:sz w:val="22"/>
          <w:szCs w:val="22"/>
        </w:rPr>
        <w:t xml:space="preserve">we aim to measure adherence </w:t>
      </w:r>
      <w:r w:rsidR="00F51FFA">
        <w:rPr>
          <w:rFonts w:asciiTheme="majorHAnsi" w:hAnsiTheme="majorHAnsi" w:cstheme="majorHAnsi"/>
          <w:sz w:val="22"/>
          <w:szCs w:val="22"/>
        </w:rPr>
        <w:t xml:space="preserve">to primaquine </w:t>
      </w:r>
      <w:r w:rsidR="00A4642F" w:rsidRPr="009E7116">
        <w:rPr>
          <w:rFonts w:asciiTheme="majorHAnsi" w:hAnsiTheme="majorHAnsi" w:cstheme="majorHAnsi"/>
          <w:sz w:val="22"/>
          <w:szCs w:val="22"/>
        </w:rPr>
        <w:t xml:space="preserve">based on the individual records in each study. Information on the mg dose given of </w:t>
      </w:r>
      <w:proofErr w:type="spellStart"/>
      <w:r w:rsidR="00A4642F" w:rsidRPr="009E7116">
        <w:rPr>
          <w:rFonts w:asciiTheme="majorHAnsi" w:hAnsiTheme="majorHAnsi" w:cstheme="majorHAnsi"/>
          <w:color w:val="000000" w:themeColor="text1"/>
          <w:sz w:val="22"/>
          <w:szCs w:val="22"/>
        </w:rPr>
        <w:t>hypnozonticidal</w:t>
      </w:r>
      <w:proofErr w:type="spellEnd"/>
      <w:r w:rsidR="00A4642F" w:rsidRPr="009E7116">
        <w:rPr>
          <w:rFonts w:asciiTheme="majorHAnsi" w:hAnsiTheme="majorHAnsi" w:cstheme="majorHAnsi"/>
          <w:color w:val="000000" w:themeColor="text1"/>
          <w:sz w:val="22"/>
          <w:szCs w:val="22"/>
        </w:rPr>
        <w:t xml:space="preserve"> treatment</w:t>
      </w:r>
      <w:r w:rsidR="00E97100">
        <w:rPr>
          <w:rFonts w:asciiTheme="majorHAnsi" w:hAnsiTheme="majorHAnsi" w:cstheme="majorHAnsi"/>
          <w:sz w:val="22"/>
          <w:szCs w:val="22"/>
        </w:rPr>
        <w:t xml:space="preserve"> and treatment </w:t>
      </w:r>
      <w:r w:rsidR="00A4642F" w:rsidRPr="009E7116">
        <w:rPr>
          <w:rFonts w:asciiTheme="majorHAnsi" w:hAnsiTheme="majorHAnsi" w:cstheme="majorHAnsi"/>
          <w:sz w:val="22"/>
          <w:szCs w:val="22"/>
        </w:rPr>
        <w:t xml:space="preserve">duration recorded for each individual, and supervision status will be gathered in </w:t>
      </w:r>
      <w:r w:rsidR="00485AE0">
        <w:rPr>
          <w:rFonts w:asciiTheme="majorHAnsi" w:hAnsiTheme="majorHAnsi" w:cstheme="majorHAnsi"/>
          <w:sz w:val="22"/>
          <w:szCs w:val="22"/>
        </w:rPr>
        <w:t xml:space="preserve">the </w:t>
      </w:r>
      <w:r w:rsidR="009F57CE" w:rsidRPr="009E7116">
        <w:rPr>
          <w:rFonts w:asciiTheme="majorHAnsi" w:hAnsiTheme="majorHAnsi" w:cstheme="majorHAnsi"/>
          <w:sz w:val="22"/>
          <w:szCs w:val="22"/>
        </w:rPr>
        <w:t>primaquine</w:t>
      </w:r>
      <w:r w:rsidR="00A4642F" w:rsidRPr="009E7116">
        <w:rPr>
          <w:rFonts w:asciiTheme="majorHAnsi" w:hAnsiTheme="majorHAnsi" w:cstheme="majorHAnsi"/>
          <w:sz w:val="22"/>
          <w:szCs w:val="22"/>
        </w:rPr>
        <w:t xml:space="preserve"> treatment arm. </w:t>
      </w:r>
    </w:p>
    <w:p w14:paraId="28FEF63E" w14:textId="4FC37FC4" w:rsidR="00C31EA1" w:rsidRPr="003A5D86" w:rsidRDefault="00C20031" w:rsidP="003A5D86">
      <w:pPr>
        <w:widowControl w:val="0"/>
        <w:autoSpaceDE w:val="0"/>
        <w:autoSpaceDN w:val="0"/>
        <w:adjustRightInd w:val="0"/>
        <w:spacing w:before="100" w:beforeAutospacing="1" w:after="100" w:afterAutospacing="1" w:line="360" w:lineRule="auto"/>
        <w:ind w:left="360"/>
        <w:jc w:val="both"/>
        <w:rPr>
          <w:rFonts w:asciiTheme="majorHAnsi" w:hAnsiTheme="majorHAnsi" w:cstheme="majorHAnsi"/>
          <w:i/>
          <w:iCs/>
        </w:rPr>
      </w:pPr>
      <w:r w:rsidRPr="003A5D86">
        <w:rPr>
          <w:rFonts w:asciiTheme="majorHAnsi" w:hAnsiTheme="majorHAnsi" w:cstheme="majorHAnsi"/>
          <w:i/>
          <w:iCs/>
        </w:rPr>
        <w:t>Primary</w:t>
      </w:r>
      <w:r w:rsidR="00FA5421" w:rsidRPr="003A5D86">
        <w:rPr>
          <w:rFonts w:asciiTheme="majorHAnsi" w:hAnsiTheme="majorHAnsi" w:cstheme="majorHAnsi"/>
          <w:i/>
          <w:iCs/>
        </w:rPr>
        <w:t xml:space="preserve"> measurement</w:t>
      </w:r>
      <w:r w:rsidRPr="003A5D86">
        <w:rPr>
          <w:rFonts w:asciiTheme="majorHAnsi" w:hAnsiTheme="majorHAnsi" w:cstheme="majorHAnsi"/>
          <w:i/>
          <w:iCs/>
        </w:rPr>
        <w:t xml:space="preserve"> of adherence</w:t>
      </w:r>
      <w:r w:rsidR="008C7F48" w:rsidRPr="003A5D86">
        <w:rPr>
          <w:rFonts w:asciiTheme="majorHAnsi" w:hAnsiTheme="majorHAnsi" w:cstheme="majorHAnsi"/>
          <w:i/>
          <w:iCs/>
        </w:rPr>
        <w:t xml:space="preserve"> –supervision</w:t>
      </w:r>
      <w:r w:rsidR="00F4660D" w:rsidRPr="003A5D86">
        <w:rPr>
          <w:rFonts w:asciiTheme="majorHAnsi" w:hAnsiTheme="majorHAnsi" w:cstheme="majorHAnsi"/>
          <w:i/>
          <w:iCs/>
        </w:rPr>
        <w:t xml:space="preserve"> </w:t>
      </w:r>
      <w:r w:rsidR="00216012" w:rsidRPr="003A5D86">
        <w:rPr>
          <w:rFonts w:asciiTheme="majorHAnsi" w:hAnsiTheme="majorHAnsi" w:cstheme="majorHAnsi"/>
          <w:i/>
          <w:iCs/>
        </w:rPr>
        <w:t>status</w:t>
      </w:r>
    </w:p>
    <w:p w14:paraId="596C1823" w14:textId="28430014" w:rsidR="00F4660D" w:rsidRDefault="00F4660D" w:rsidP="00F4660D">
      <w:pPr>
        <w:widowControl w:val="0"/>
        <w:autoSpaceDE w:val="0"/>
        <w:autoSpaceDN w:val="0"/>
        <w:adjustRightInd w:val="0"/>
        <w:spacing w:before="100" w:beforeAutospacing="1" w:after="100" w:afterAutospacing="1" w:line="360" w:lineRule="auto"/>
        <w:ind w:left="360"/>
        <w:jc w:val="both"/>
        <w:rPr>
          <w:rFonts w:asciiTheme="majorHAnsi" w:hAnsiTheme="majorHAnsi" w:cstheme="majorHAnsi"/>
          <w:sz w:val="22"/>
          <w:szCs w:val="22"/>
        </w:rPr>
      </w:pPr>
      <w:r w:rsidRPr="00F4660D">
        <w:rPr>
          <w:rFonts w:asciiTheme="majorHAnsi" w:hAnsiTheme="majorHAnsi" w:cstheme="majorHAnsi"/>
          <w:sz w:val="22"/>
          <w:szCs w:val="22"/>
        </w:rPr>
        <w:t xml:space="preserve">We will use individual patient data and/or the study protocol to calculate the percentage of doses supervised. Supervision status is defined as </w:t>
      </w:r>
      <w:r w:rsidR="00CD2DCE">
        <w:rPr>
          <w:rFonts w:asciiTheme="majorHAnsi" w:hAnsiTheme="majorHAnsi" w:cstheme="majorHAnsi"/>
          <w:sz w:val="22"/>
          <w:szCs w:val="22"/>
        </w:rPr>
        <w:t xml:space="preserve">the </w:t>
      </w:r>
      <w:r w:rsidRPr="00F4660D">
        <w:rPr>
          <w:rFonts w:asciiTheme="majorHAnsi" w:hAnsiTheme="majorHAnsi" w:cstheme="majorHAnsi"/>
          <w:sz w:val="22"/>
          <w:szCs w:val="22"/>
        </w:rPr>
        <w:t xml:space="preserve">direct observation of the number of doses administered for each patient by a health worker at each time. </w:t>
      </w:r>
      <w:r w:rsidR="00613D92">
        <w:rPr>
          <w:rFonts w:asciiTheme="majorHAnsi" w:hAnsiTheme="majorHAnsi" w:cstheme="majorHAnsi"/>
          <w:sz w:val="22"/>
          <w:szCs w:val="22"/>
        </w:rPr>
        <w:t xml:space="preserve">The percentage of </w:t>
      </w:r>
      <w:r w:rsidR="00CA3D36">
        <w:rPr>
          <w:rFonts w:asciiTheme="majorHAnsi" w:hAnsiTheme="majorHAnsi" w:cstheme="majorHAnsi"/>
          <w:sz w:val="22"/>
          <w:szCs w:val="22"/>
        </w:rPr>
        <w:t xml:space="preserve">supervised </w:t>
      </w:r>
      <w:r w:rsidR="00DD1CE9">
        <w:rPr>
          <w:rFonts w:asciiTheme="majorHAnsi" w:hAnsiTheme="majorHAnsi" w:cstheme="majorHAnsi"/>
          <w:sz w:val="22"/>
          <w:szCs w:val="22"/>
        </w:rPr>
        <w:t xml:space="preserve">doses </w:t>
      </w:r>
      <w:r w:rsidR="00DD1CE9" w:rsidRPr="00F4660D">
        <w:rPr>
          <w:rFonts w:asciiTheme="majorHAnsi" w:hAnsiTheme="majorHAnsi" w:cstheme="majorHAnsi"/>
          <w:sz w:val="22"/>
          <w:szCs w:val="22"/>
        </w:rPr>
        <w:t>for</w:t>
      </w:r>
      <w:r w:rsidRPr="00F4660D">
        <w:rPr>
          <w:rFonts w:asciiTheme="majorHAnsi" w:hAnsiTheme="majorHAnsi" w:cstheme="majorHAnsi"/>
          <w:sz w:val="22"/>
          <w:szCs w:val="22"/>
        </w:rPr>
        <w:t xml:space="preserve"> each </w:t>
      </w:r>
      <w:r w:rsidR="002E495E">
        <w:rPr>
          <w:rFonts w:asciiTheme="majorHAnsi" w:hAnsiTheme="majorHAnsi" w:cstheme="majorHAnsi"/>
          <w:sz w:val="22"/>
          <w:szCs w:val="22"/>
        </w:rPr>
        <w:t>individual</w:t>
      </w:r>
      <w:r w:rsidRPr="00F4660D">
        <w:rPr>
          <w:rFonts w:asciiTheme="majorHAnsi" w:hAnsiTheme="majorHAnsi" w:cstheme="majorHAnsi"/>
          <w:sz w:val="22"/>
          <w:szCs w:val="22"/>
        </w:rPr>
        <w:t xml:space="preserve"> will </w:t>
      </w:r>
      <w:r w:rsidR="000A1F29">
        <w:rPr>
          <w:rFonts w:asciiTheme="majorHAnsi" w:hAnsiTheme="majorHAnsi" w:cstheme="majorHAnsi"/>
          <w:sz w:val="22"/>
          <w:szCs w:val="22"/>
        </w:rPr>
        <w:t xml:space="preserve">then </w:t>
      </w:r>
      <w:r w:rsidRPr="00F4660D">
        <w:rPr>
          <w:rFonts w:asciiTheme="majorHAnsi" w:hAnsiTheme="majorHAnsi" w:cstheme="majorHAnsi"/>
          <w:sz w:val="22"/>
          <w:szCs w:val="22"/>
        </w:rPr>
        <w:t xml:space="preserve">be categorised </w:t>
      </w:r>
      <w:r w:rsidR="000A1F29">
        <w:rPr>
          <w:rFonts w:asciiTheme="majorHAnsi" w:hAnsiTheme="majorHAnsi" w:cstheme="majorHAnsi"/>
          <w:sz w:val="22"/>
          <w:szCs w:val="22"/>
        </w:rPr>
        <w:t xml:space="preserve">into </w:t>
      </w:r>
      <w:r w:rsidR="001D48BE">
        <w:rPr>
          <w:rFonts w:asciiTheme="majorHAnsi" w:hAnsiTheme="majorHAnsi" w:cstheme="majorHAnsi"/>
          <w:sz w:val="22"/>
          <w:szCs w:val="22"/>
        </w:rPr>
        <w:t>5</w:t>
      </w:r>
      <w:r w:rsidR="000A1F29">
        <w:rPr>
          <w:rFonts w:asciiTheme="majorHAnsi" w:hAnsiTheme="majorHAnsi" w:cstheme="majorHAnsi"/>
          <w:sz w:val="22"/>
          <w:szCs w:val="22"/>
        </w:rPr>
        <w:t xml:space="preserve"> groupings</w:t>
      </w:r>
      <w:r w:rsidR="001D48BE">
        <w:rPr>
          <w:rFonts w:asciiTheme="majorHAnsi" w:hAnsiTheme="majorHAnsi" w:cstheme="majorHAnsi"/>
          <w:sz w:val="22"/>
          <w:szCs w:val="22"/>
        </w:rPr>
        <w:t xml:space="preserve"> (see below)</w:t>
      </w:r>
      <w:r w:rsidRPr="00F4660D">
        <w:rPr>
          <w:rFonts w:asciiTheme="majorHAnsi" w:hAnsiTheme="majorHAnsi" w:cstheme="majorHAnsi"/>
          <w:sz w:val="22"/>
          <w:szCs w:val="22"/>
        </w:rPr>
        <w:t xml:space="preserve">. </w:t>
      </w:r>
    </w:p>
    <w:p w14:paraId="08877862" w14:textId="1813465F" w:rsidR="008C7F48" w:rsidRPr="003A5D86" w:rsidRDefault="00C20031" w:rsidP="003A5D86">
      <w:pPr>
        <w:widowControl w:val="0"/>
        <w:autoSpaceDE w:val="0"/>
        <w:autoSpaceDN w:val="0"/>
        <w:adjustRightInd w:val="0"/>
        <w:spacing w:before="100" w:beforeAutospacing="1" w:after="100" w:afterAutospacing="1" w:line="360" w:lineRule="auto"/>
        <w:ind w:left="360"/>
        <w:jc w:val="both"/>
        <w:rPr>
          <w:rFonts w:asciiTheme="majorHAnsi" w:hAnsiTheme="majorHAnsi" w:cstheme="majorHAnsi"/>
          <w:i/>
          <w:iCs/>
        </w:rPr>
      </w:pPr>
      <w:r w:rsidRPr="003A5D86">
        <w:rPr>
          <w:rFonts w:asciiTheme="majorHAnsi" w:hAnsiTheme="majorHAnsi" w:cstheme="majorHAnsi"/>
          <w:i/>
          <w:iCs/>
        </w:rPr>
        <w:t>Secondary</w:t>
      </w:r>
      <w:r w:rsidR="008C7F48" w:rsidRPr="003A5D86">
        <w:rPr>
          <w:rFonts w:asciiTheme="majorHAnsi" w:hAnsiTheme="majorHAnsi" w:cstheme="majorHAnsi"/>
          <w:i/>
          <w:iCs/>
        </w:rPr>
        <w:t xml:space="preserve"> measurement</w:t>
      </w:r>
      <w:r w:rsidRPr="003A5D86">
        <w:rPr>
          <w:rFonts w:asciiTheme="majorHAnsi" w:hAnsiTheme="majorHAnsi" w:cstheme="majorHAnsi"/>
          <w:i/>
          <w:iCs/>
        </w:rPr>
        <w:t xml:space="preserve"> of adherence</w:t>
      </w:r>
      <w:r w:rsidR="008C7F48" w:rsidRPr="003A5D86">
        <w:rPr>
          <w:rFonts w:asciiTheme="majorHAnsi" w:hAnsiTheme="majorHAnsi" w:cstheme="majorHAnsi"/>
          <w:i/>
          <w:iCs/>
        </w:rPr>
        <w:t xml:space="preserve"> –dosing information</w:t>
      </w:r>
    </w:p>
    <w:p w14:paraId="00744786" w14:textId="0757B065" w:rsidR="00E649B3" w:rsidRDefault="00450AEF" w:rsidP="00E649B3">
      <w:pPr>
        <w:widowControl w:val="0"/>
        <w:autoSpaceDE w:val="0"/>
        <w:autoSpaceDN w:val="0"/>
        <w:adjustRightInd w:val="0"/>
        <w:spacing w:before="100" w:beforeAutospacing="1" w:after="100" w:afterAutospacing="1" w:line="360" w:lineRule="auto"/>
        <w:ind w:left="360"/>
        <w:jc w:val="both"/>
        <w:rPr>
          <w:rFonts w:asciiTheme="majorHAnsi" w:hAnsiTheme="majorHAnsi" w:cstheme="majorHAnsi"/>
          <w:sz w:val="22"/>
          <w:szCs w:val="22"/>
        </w:rPr>
      </w:pPr>
      <w:r w:rsidRPr="009E7116">
        <w:rPr>
          <w:rFonts w:asciiTheme="majorHAnsi" w:hAnsiTheme="majorHAnsi" w:cstheme="majorHAnsi"/>
          <w:sz w:val="22"/>
          <w:szCs w:val="22"/>
        </w:rPr>
        <w:lastRenderedPageBreak/>
        <w:t xml:space="preserve">We will use individual patient data coming from each study to </w:t>
      </w:r>
      <w:r w:rsidR="00A643B7" w:rsidRPr="009E7116">
        <w:rPr>
          <w:rFonts w:asciiTheme="majorHAnsi" w:hAnsiTheme="majorHAnsi" w:cstheme="majorHAnsi"/>
          <w:sz w:val="22"/>
          <w:szCs w:val="22"/>
        </w:rPr>
        <w:t xml:space="preserve">check the </w:t>
      </w:r>
      <w:r w:rsidR="00D448AD" w:rsidRPr="009E7116">
        <w:rPr>
          <w:rFonts w:asciiTheme="majorHAnsi" w:hAnsiTheme="majorHAnsi" w:cstheme="majorHAnsi"/>
          <w:sz w:val="22"/>
          <w:szCs w:val="22"/>
        </w:rPr>
        <w:t>number</w:t>
      </w:r>
      <w:r w:rsidR="00A643B7" w:rsidRPr="009E7116">
        <w:rPr>
          <w:rFonts w:asciiTheme="majorHAnsi" w:hAnsiTheme="majorHAnsi" w:cstheme="majorHAnsi"/>
          <w:sz w:val="22"/>
          <w:szCs w:val="22"/>
        </w:rPr>
        <w:t xml:space="preserve"> of doses administered</w:t>
      </w:r>
      <w:r w:rsidR="00BB4A98" w:rsidRPr="009E7116">
        <w:rPr>
          <w:rFonts w:asciiTheme="majorHAnsi" w:hAnsiTheme="majorHAnsi" w:cstheme="majorHAnsi"/>
          <w:sz w:val="22"/>
          <w:szCs w:val="22"/>
        </w:rPr>
        <w:t xml:space="preserve">. </w:t>
      </w:r>
      <w:r w:rsidR="00826AE2" w:rsidRPr="009E7116">
        <w:rPr>
          <w:rFonts w:asciiTheme="majorHAnsi" w:hAnsiTheme="majorHAnsi" w:cstheme="majorHAnsi"/>
          <w:sz w:val="22"/>
          <w:szCs w:val="22"/>
        </w:rPr>
        <w:t xml:space="preserve">The </w:t>
      </w:r>
      <w:r w:rsidR="00F07856" w:rsidRPr="009E7116">
        <w:rPr>
          <w:rFonts w:asciiTheme="majorHAnsi" w:hAnsiTheme="majorHAnsi" w:cstheme="majorHAnsi"/>
          <w:sz w:val="22"/>
          <w:szCs w:val="22"/>
        </w:rPr>
        <w:t xml:space="preserve">primaquine doses </w:t>
      </w:r>
      <w:r w:rsidR="00090301" w:rsidRPr="009E7116">
        <w:rPr>
          <w:rFonts w:asciiTheme="majorHAnsi" w:hAnsiTheme="majorHAnsi" w:cstheme="majorHAnsi"/>
          <w:sz w:val="22"/>
          <w:szCs w:val="22"/>
        </w:rPr>
        <w:t xml:space="preserve">might be </w:t>
      </w:r>
      <w:r w:rsidR="001946FD" w:rsidRPr="009E7116">
        <w:rPr>
          <w:rFonts w:asciiTheme="majorHAnsi" w:hAnsiTheme="majorHAnsi" w:cstheme="majorHAnsi"/>
          <w:sz w:val="22"/>
          <w:szCs w:val="22"/>
        </w:rPr>
        <w:t>recorded</w:t>
      </w:r>
      <w:r w:rsidR="00DB7215" w:rsidRPr="009E7116">
        <w:rPr>
          <w:rFonts w:asciiTheme="majorHAnsi" w:hAnsiTheme="majorHAnsi" w:cstheme="majorHAnsi"/>
          <w:sz w:val="22"/>
          <w:szCs w:val="22"/>
        </w:rPr>
        <w:t xml:space="preserve"> </w:t>
      </w:r>
      <w:r w:rsidR="003B3F28" w:rsidRPr="009E7116">
        <w:rPr>
          <w:rFonts w:asciiTheme="majorHAnsi" w:hAnsiTheme="majorHAnsi" w:cstheme="majorHAnsi"/>
          <w:sz w:val="22"/>
          <w:szCs w:val="22"/>
        </w:rPr>
        <w:t>by</w:t>
      </w:r>
      <w:r w:rsidR="00090301" w:rsidRPr="009E7116">
        <w:rPr>
          <w:rFonts w:asciiTheme="majorHAnsi" w:hAnsiTheme="majorHAnsi" w:cstheme="majorHAnsi"/>
          <w:sz w:val="22"/>
          <w:szCs w:val="22"/>
        </w:rPr>
        <w:t xml:space="preserve"> tablets or mg/kg </w:t>
      </w:r>
      <w:r w:rsidR="003B3F28" w:rsidRPr="009E7116">
        <w:rPr>
          <w:rFonts w:asciiTheme="majorHAnsi" w:hAnsiTheme="majorHAnsi" w:cstheme="majorHAnsi"/>
          <w:sz w:val="22"/>
          <w:szCs w:val="22"/>
        </w:rPr>
        <w:t xml:space="preserve">of daily doses </w:t>
      </w:r>
      <w:r w:rsidR="00090301" w:rsidRPr="009E7116">
        <w:rPr>
          <w:rFonts w:asciiTheme="majorHAnsi" w:hAnsiTheme="majorHAnsi" w:cstheme="majorHAnsi"/>
          <w:sz w:val="22"/>
          <w:szCs w:val="22"/>
        </w:rPr>
        <w:t>per individual.</w:t>
      </w:r>
      <w:r w:rsidR="00BB4A98" w:rsidRPr="009E7116">
        <w:rPr>
          <w:rFonts w:asciiTheme="majorHAnsi" w:hAnsiTheme="majorHAnsi" w:cstheme="majorHAnsi"/>
          <w:sz w:val="22"/>
          <w:szCs w:val="22"/>
        </w:rPr>
        <w:t xml:space="preserve"> </w:t>
      </w:r>
      <w:r w:rsidR="003A5F9B">
        <w:rPr>
          <w:rFonts w:asciiTheme="majorHAnsi" w:hAnsiTheme="majorHAnsi" w:cstheme="majorHAnsi"/>
          <w:sz w:val="22"/>
          <w:szCs w:val="22"/>
        </w:rPr>
        <w:t>W</w:t>
      </w:r>
      <w:r w:rsidR="009802EE" w:rsidRPr="009E7116">
        <w:rPr>
          <w:rFonts w:asciiTheme="majorHAnsi" w:hAnsiTheme="majorHAnsi" w:cstheme="majorHAnsi"/>
          <w:sz w:val="22"/>
          <w:szCs w:val="22"/>
        </w:rPr>
        <w:t xml:space="preserve">e </w:t>
      </w:r>
      <w:r w:rsidR="00182B52" w:rsidRPr="009E7116">
        <w:rPr>
          <w:rFonts w:asciiTheme="majorHAnsi" w:hAnsiTheme="majorHAnsi" w:cstheme="majorHAnsi"/>
          <w:sz w:val="22"/>
          <w:szCs w:val="22"/>
        </w:rPr>
        <w:t xml:space="preserve">will </w:t>
      </w:r>
      <w:r w:rsidR="00DC40D8" w:rsidRPr="009E7116">
        <w:rPr>
          <w:rFonts w:asciiTheme="majorHAnsi" w:hAnsiTheme="majorHAnsi" w:cstheme="majorHAnsi"/>
          <w:sz w:val="22"/>
          <w:szCs w:val="22"/>
        </w:rPr>
        <w:t xml:space="preserve">calculate the </w:t>
      </w:r>
      <w:r w:rsidR="0061649E">
        <w:rPr>
          <w:rFonts w:asciiTheme="majorHAnsi" w:hAnsiTheme="majorHAnsi" w:cstheme="majorHAnsi"/>
          <w:sz w:val="22"/>
          <w:szCs w:val="22"/>
        </w:rPr>
        <w:t xml:space="preserve">percentage </w:t>
      </w:r>
      <w:r w:rsidR="0037567B">
        <w:rPr>
          <w:rFonts w:asciiTheme="majorHAnsi" w:hAnsiTheme="majorHAnsi" w:cstheme="majorHAnsi"/>
          <w:sz w:val="22"/>
          <w:szCs w:val="22"/>
        </w:rPr>
        <w:t xml:space="preserve">of doses </w:t>
      </w:r>
      <w:r w:rsidR="000939FC">
        <w:rPr>
          <w:rFonts w:asciiTheme="majorHAnsi" w:hAnsiTheme="majorHAnsi" w:cstheme="majorHAnsi"/>
          <w:sz w:val="22"/>
          <w:szCs w:val="22"/>
        </w:rPr>
        <w:t xml:space="preserve">received </w:t>
      </w:r>
      <w:r w:rsidR="000939FC" w:rsidRPr="009E7116">
        <w:rPr>
          <w:rFonts w:asciiTheme="majorHAnsi" w:hAnsiTheme="majorHAnsi" w:cstheme="majorHAnsi"/>
          <w:sz w:val="22"/>
          <w:szCs w:val="22"/>
        </w:rPr>
        <w:t>for</w:t>
      </w:r>
      <w:r w:rsidR="00BB0C29">
        <w:rPr>
          <w:rFonts w:asciiTheme="majorHAnsi" w:hAnsiTheme="majorHAnsi" w:cstheme="majorHAnsi"/>
          <w:sz w:val="22"/>
          <w:szCs w:val="22"/>
        </w:rPr>
        <w:t xml:space="preserve"> each individual </w:t>
      </w:r>
      <w:r w:rsidR="000E4C30">
        <w:rPr>
          <w:rFonts w:asciiTheme="majorHAnsi" w:hAnsiTheme="majorHAnsi" w:cstheme="majorHAnsi"/>
          <w:sz w:val="22"/>
          <w:szCs w:val="22"/>
        </w:rPr>
        <w:t xml:space="preserve">from </w:t>
      </w:r>
      <w:r w:rsidR="00475FCD">
        <w:rPr>
          <w:rFonts w:asciiTheme="majorHAnsi" w:hAnsiTheme="majorHAnsi" w:cstheme="majorHAnsi"/>
          <w:sz w:val="22"/>
          <w:szCs w:val="22"/>
        </w:rPr>
        <w:t xml:space="preserve">the number of doses administered </w:t>
      </w:r>
      <w:r w:rsidR="002A7D18">
        <w:rPr>
          <w:rFonts w:asciiTheme="majorHAnsi" w:hAnsiTheme="majorHAnsi" w:cstheme="majorHAnsi"/>
          <w:sz w:val="22"/>
          <w:szCs w:val="22"/>
        </w:rPr>
        <w:t>divided by</w:t>
      </w:r>
      <w:r w:rsidR="00475FCD">
        <w:rPr>
          <w:rFonts w:asciiTheme="majorHAnsi" w:hAnsiTheme="majorHAnsi" w:cstheme="majorHAnsi"/>
          <w:sz w:val="22"/>
          <w:szCs w:val="22"/>
        </w:rPr>
        <w:t xml:space="preserve"> the number of doses </w:t>
      </w:r>
      <w:r w:rsidR="00A84C55">
        <w:rPr>
          <w:rFonts w:asciiTheme="majorHAnsi" w:hAnsiTheme="majorHAnsi" w:cstheme="majorHAnsi"/>
          <w:sz w:val="22"/>
          <w:szCs w:val="22"/>
        </w:rPr>
        <w:t>planned according to the study protocol</w:t>
      </w:r>
      <w:r w:rsidR="00475FCD">
        <w:rPr>
          <w:rFonts w:asciiTheme="majorHAnsi" w:hAnsiTheme="majorHAnsi" w:cstheme="majorHAnsi"/>
          <w:sz w:val="22"/>
          <w:szCs w:val="22"/>
        </w:rPr>
        <w:t>.</w:t>
      </w:r>
      <w:r w:rsidR="00D478F6" w:rsidRPr="009E7116">
        <w:rPr>
          <w:rFonts w:asciiTheme="majorHAnsi" w:hAnsiTheme="majorHAnsi" w:cstheme="majorHAnsi"/>
          <w:sz w:val="22"/>
          <w:szCs w:val="22"/>
        </w:rPr>
        <w:t xml:space="preserve"> </w:t>
      </w:r>
      <w:r w:rsidR="000855B0" w:rsidRPr="009E7116">
        <w:rPr>
          <w:rFonts w:asciiTheme="majorHAnsi" w:hAnsiTheme="majorHAnsi" w:cstheme="majorHAnsi"/>
          <w:sz w:val="22"/>
          <w:szCs w:val="22"/>
        </w:rPr>
        <w:t>A</w:t>
      </w:r>
      <w:r w:rsidR="00CA3D36">
        <w:rPr>
          <w:rFonts w:asciiTheme="majorHAnsi" w:hAnsiTheme="majorHAnsi" w:cstheme="majorHAnsi"/>
          <w:sz w:val="22"/>
          <w:szCs w:val="22"/>
        </w:rPr>
        <w:t xml:space="preserve">s </w:t>
      </w:r>
      <w:r w:rsidR="005A2C89">
        <w:rPr>
          <w:rFonts w:asciiTheme="majorHAnsi" w:hAnsiTheme="majorHAnsi" w:cstheme="majorHAnsi"/>
          <w:sz w:val="22"/>
          <w:szCs w:val="22"/>
        </w:rPr>
        <w:t xml:space="preserve">for the primary measure, </w:t>
      </w:r>
      <w:r w:rsidR="00D7585B">
        <w:rPr>
          <w:rFonts w:asciiTheme="majorHAnsi" w:hAnsiTheme="majorHAnsi" w:cstheme="majorHAnsi"/>
          <w:sz w:val="22"/>
          <w:szCs w:val="22"/>
        </w:rPr>
        <w:t xml:space="preserve">this measure of adherence will be categorised into </w:t>
      </w:r>
      <w:r w:rsidR="006C6B00">
        <w:rPr>
          <w:rFonts w:asciiTheme="majorHAnsi" w:hAnsiTheme="majorHAnsi" w:cstheme="majorHAnsi"/>
          <w:sz w:val="22"/>
          <w:szCs w:val="22"/>
        </w:rPr>
        <w:t>5</w:t>
      </w:r>
      <w:r w:rsidR="00D7585B">
        <w:rPr>
          <w:rFonts w:asciiTheme="majorHAnsi" w:hAnsiTheme="majorHAnsi" w:cstheme="majorHAnsi"/>
          <w:sz w:val="22"/>
          <w:szCs w:val="22"/>
        </w:rPr>
        <w:t xml:space="preserve"> groupings</w:t>
      </w:r>
      <w:r w:rsidR="006C6B00">
        <w:rPr>
          <w:rFonts w:asciiTheme="majorHAnsi" w:hAnsiTheme="majorHAnsi" w:cstheme="majorHAnsi"/>
          <w:sz w:val="22"/>
          <w:szCs w:val="22"/>
        </w:rPr>
        <w:t xml:space="preserve"> (see below)</w:t>
      </w:r>
      <w:r w:rsidR="00D478F6" w:rsidRPr="009E7116">
        <w:rPr>
          <w:rFonts w:asciiTheme="majorHAnsi" w:hAnsiTheme="majorHAnsi" w:cstheme="majorHAnsi"/>
          <w:sz w:val="22"/>
          <w:szCs w:val="22"/>
        </w:rPr>
        <w:t>.</w:t>
      </w:r>
      <w:r w:rsidR="00D012DF" w:rsidRPr="009E7116">
        <w:rPr>
          <w:rFonts w:asciiTheme="majorHAnsi" w:hAnsiTheme="majorHAnsi" w:cstheme="majorHAnsi"/>
          <w:sz w:val="22"/>
          <w:szCs w:val="22"/>
        </w:rPr>
        <w:t xml:space="preserve"> </w:t>
      </w:r>
    </w:p>
    <w:p w14:paraId="7EEF179D" w14:textId="0B2FD189" w:rsidR="00851F50" w:rsidRDefault="00F4660D" w:rsidP="00D57A20">
      <w:pPr>
        <w:widowControl w:val="0"/>
        <w:autoSpaceDE w:val="0"/>
        <w:autoSpaceDN w:val="0"/>
        <w:adjustRightInd w:val="0"/>
        <w:spacing w:before="100" w:beforeAutospacing="1" w:after="100" w:afterAutospacing="1" w:line="360" w:lineRule="auto"/>
        <w:ind w:left="360"/>
        <w:jc w:val="both"/>
        <w:rPr>
          <w:rFonts w:asciiTheme="majorHAnsi" w:hAnsiTheme="majorHAnsi" w:cstheme="majorHAnsi"/>
          <w:sz w:val="22"/>
          <w:szCs w:val="22"/>
          <w:lang w:bidi="fa-IR"/>
        </w:rPr>
      </w:pPr>
      <w:r w:rsidRPr="009E7116">
        <w:rPr>
          <w:rFonts w:asciiTheme="majorHAnsi" w:hAnsiTheme="majorHAnsi" w:cstheme="majorHAnsi"/>
          <w:sz w:val="22"/>
          <w:szCs w:val="22"/>
        </w:rPr>
        <w:t xml:space="preserve">We will </w:t>
      </w:r>
      <w:r w:rsidR="007C312B">
        <w:rPr>
          <w:rFonts w:asciiTheme="majorHAnsi" w:hAnsiTheme="majorHAnsi" w:cstheme="majorHAnsi"/>
          <w:sz w:val="22"/>
          <w:szCs w:val="22"/>
        </w:rPr>
        <w:t xml:space="preserve">also </w:t>
      </w:r>
      <w:r w:rsidRPr="009E7116">
        <w:rPr>
          <w:rFonts w:asciiTheme="majorHAnsi" w:hAnsiTheme="majorHAnsi" w:cstheme="majorHAnsi"/>
          <w:sz w:val="22"/>
          <w:szCs w:val="22"/>
        </w:rPr>
        <w:t xml:space="preserve">use individual </w:t>
      </w:r>
      <w:r w:rsidR="004863BB" w:rsidRPr="009E7116">
        <w:rPr>
          <w:rFonts w:asciiTheme="majorHAnsi" w:hAnsiTheme="majorHAnsi" w:cstheme="majorHAnsi"/>
          <w:sz w:val="22"/>
          <w:szCs w:val="22"/>
        </w:rPr>
        <w:t xml:space="preserve">total mg/kg dose administered </w:t>
      </w:r>
      <w:r w:rsidR="00832F97" w:rsidRPr="009E7116">
        <w:rPr>
          <w:rFonts w:asciiTheme="majorHAnsi" w:hAnsiTheme="majorHAnsi" w:cstheme="majorHAnsi"/>
          <w:sz w:val="22"/>
          <w:szCs w:val="22"/>
        </w:rPr>
        <w:t>as a proxy for adherence</w:t>
      </w:r>
      <w:r w:rsidR="00832F97">
        <w:rPr>
          <w:rFonts w:asciiTheme="majorHAnsi" w:hAnsiTheme="majorHAnsi" w:cstheme="majorHAnsi"/>
          <w:sz w:val="22"/>
          <w:szCs w:val="22"/>
        </w:rPr>
        <w:t xml:space="preserve"> </w:t>
      </w:r>
      <w:r w:rsidR="009738CF">
        <w:rPr>
          <w:rFonts w:asciiTheme="majorHAnsi" w:hAnsiTheme="majorHAnsi" w:cstheme="majorHAnsi"/>
          <w:sz w:val="22"/>
          <w:szCs w:val="22"/>
        </w:rPr>
        <w:t xml:space="preserve">in some </w:t>
      </w:r>
      <w:r w:rsidR="005E61AE">
        <w:rPr>
          <w:rFonts w:asciiTheme="majorHAnsi" w:hAnsiTheme="majorHAnsi" w:cstheme="majorHAnsi"/>
          <w:sz w:val="22"/>
          <w:szCs w:val="22"/>
        </w:rPr>
        <w:t>studies</w:t>
      </w:r>
      <w:r w:rsidR="009738CF">
        <w:rPr>
          <w:rFonts w:asciiTheme="majorHAnsi" w:hAnsiTheme="majorHAnsi" w:cstheme="majorHAnsi"/>
          <w:sz w:val="22"/>
          <w:szCs w:val="22"/>
        </w:rPr>
        <w:t xml:space="preserve"> in which</w:t>
      </w:r>
      <w:r w:rsidR="00B65791">
        <w:rPr>
          <w:rFonts w:asciiTheme="majorHAnsi" w:hAnsiTheme="majorHAnsi" w:cstheme="majorHAnsi"/>
          <w:sz w:val="22"/>
          <w:szCs w:val="22"/>
        </w:rPr>
        <w:t xml:space="preserve"> daily dose information</w:t>
      </w:r>
      <w:r w:rsidR="009B69A6">
        <w:rPr>
          <w:rFonts w:asciiTheme="majorHAnsi" w:hAnsiTheme="majorHAnsi" w:cstheme="majorHAnsi"/>
          <w:sz w:val="22"/>
          <w:szCs w:val="22"/>
        </w:rPr>
        <w:t xml:space="preserve"> </w:t>
      </w:r>
      <w:r w:rsidR="005E61AE">
        <w:rPr>
          <w:rFonts w:asciiTheme="majorHAnsi" w:hAnsiTheme="majorHAnsi" w:cstheme="majorHAnsi"/>
          <w:sz w:val="22"/>
          <w:szCs w:val="22"/>
        </w:rPr>
        <w:t>was not recorded</w:t>
      </w:r>
      <w:r w:rsidR="00034623">
        <w:rPr>
          <w:rFonts w:asciiTheme="majorHAnsi" w:hAnsiTheme="majorHAnsi" w:cstheme="majorHAnsi"/>
          <w:sz w:val="22"/>
          <w:szCs w:val="22"/>
        </w:rPr>
        <w:t xml:space="preserve">, where percentage of doses received is calculated from total mg/kg dose administered divided by </w:t>
      </w:r>
      <w:r w:rsidR="00DD0554">
        <w:rPr>
          <w:rFonts w:asciiTheme="majorHAnsi" w:hAnsiTheme="majorHAnsi" w:cstheme="majorHAnsi"/>
          <w:sz w:val="22"/>
          <w:szCs w:val="22"/>
        </w:rPr>
        <w:t>total mg/kg dose</w:t>
      </w:r>
      <w:r w:rsidR="007A1BA9">
        <w:rPr>
          <w:rFonts w:asciiTheme="majorHAnsi" w:hAnsiTheme="majorHAnsi" w:cstheme="majorHAnsi"/>
          <w:sz w:val="22"/>
          <w:szCs w:val="22"/>
        </w:rPr>
        <w:t xml:space="preserve"> </w:t>
      </w:r>
      <w:r w:rsidR="007B1E80">
        <w:rPr>
          <w:rFonts w:asciiTheme="majorHAnsi" w:hAnsiTheme="majorHAnsi" w:cstheme="majorHAnsi"/>
          <w:sz w:val="22"/>
          <w:szCs w:val="22"/>
        </w:rPr>
        <w:t>according to the study protocol</w:t>
      </w:r>
      <w:r w:rsidRPr="009E7116">
        <w:rPr>
          <w:rFonts w:asciiTheme="majorHAnsi" w:hAnsiTheme="majorHAnsi" w:cstheme="majorHAnsi"/>
          <w:sz w:val="22"/>
          <w:szCs w:val="22"/>
        </w:rPr>
        <w:t xml:space="preserve">. </w:t>
      </w:r>
      <w:r w:rsidR="00276754">
        <w:rPr>
          <w:rFonts w:asciiTheme="majorHAnsi" w:hAnsiTheme="majorHAnsi" w:cstheme="majorHAnsi"/>
          <w:sz w:val="22"/>
          <w:szCs w:val="22"/>
          <w:lang w:bidi="fa-IR"/>
        </w:rPr>
        <w:t xml:space="preserve">For this method, </w:t>
      </w:r>
      <w:r w:rsidR="00601254">
        <w:rPr>
          <w:rFonts w:asciiTheme="majorHAnsi" w:hAnsiTheme="majorHAnsi" w:cstheme="majorHAnsi"/>
          <w:sz w:val="22"/>
          <w:szCs w:val="22"/>
          <w:lang w:bidi="fa-IR"/>
        </w:rPr>
        <w:t xml:space="preserve">we will </w:t>
      </w:r>
      <w:r w:rsidR="00601254" w:rsidRPr="00832F97">
        <w:rPr>
          <w:rFonts w:asciiTheme="majorHAnsi" w:hAnsiTheme="majorHAnsi" w:cstheme="majorHAnsi"/>
          <w:sz w:val="22"/>
          <w:szCs w:val="22"/>
          <w:lang w:bidi="fa-IR"/>
        </w:rPr>
        <w:t>assum</w:t>
      </w:r>
      <w:r w:rsidR="00601254">
        <w:rPr>
          <w:rFonts w:asciiTheme="majorHAnsi" w:hAnsiTheme="majorHAnsi" w:cstheme="majorHAnsi"/>
          <w:sz w:val="22"/>
          <w:szCs w:val="22"/>
          <w:lang w:bidi="fa-IR"/>
        </w:rPr>
        <w:t>e that</w:t>
      </w:r>
      <w:r w:rsidR="00601254" w:rsidRPr="00832F97">
        <w:rPr>
          <w:rFonts w:asciiTheme="majorHAnsi" w:hAnsiTheme="majorHAnsi" w:cstheme="majorHAnsi"/>
          <w:sz w:val="22"/>
          <w:szCs w:val="22"/>
          <w:lang w:bidi="fa-IR"/>
        </w:rPr>
        <w:t xml:space="preserve"> each patient </w:t>
      </w:r>
      <w:r w:rsidR="00601254">
        <w:rPr>
          <w:rFonts w:asciiTheme="majorHAnsi" w:hAnsiTheme="majorHAnsi" w:cstheme="majorHAnsi"/>
          <w:sz w:val="22"/>
          <w:szCs w:val="22"/>
          <w:lang w:bidi="fa-IR"/>
        </w:rPr>
        <w:t xml:space="preserve">was </w:t>
      </w:r>
      <w:r w:rsidR="00601254" w:rsidRPr="00832F97">
        <w:rPr>
          <w:rFonts w:asciiTheme="majorHAnsi" w:hAnsiTheme="majorHAnsi" w:cstheme="majorHAnsi"/>
          <w:sz w:val="22"/>
          <w:szCs w:val="22"/>
          <w:lang w:bidi="fa-IR"/>
        </w:rPr>
        <w:t xml:space="preserve">administered </w:t>
      </w:r>
      <w:r w:rsidR="00601254">
        <w:rPr>
          <w:rFonts w:asciiTheme="majorHAnsi" w:hAnsiTheme="majorHAnsi" w:cstheme="majorHAnsi"/>
          <w:sz w:val="22"/>
          <w:szCs w:val="22"/>
          <w:lang w:bidi="fa-IR"/>
        </w:rPr>
        <w:t xml:space="preserve">an </w:t>
      </w:r>
      <w:r w:rsidR="00601254" w:rsidRPr="00832F97">
        <w:rPr>
          <w:rFonts w:asciiTheme="majorHAnsi" w:hAnsiTheme="majorHAnsi" w:cstheme="majorHAnsi"/>
          <w:sz w:val="22"/>
          <w:szCs w:val="22"/>
          <w:lang w:bidi="fa-IR"/>
        </w:rPr>
        <w:t xml:space="preserve">equal number of </w:t>
      </w:r>
      <w:r w:rsidR="00601254">
        <w:rPr>
          <w:rFonts w:asciiTheme="majorHAnsi" w:hAnsiTheme="majorHAnsi" w:cstheme="majorHAnsi"/>
          <w:sz w:val="22"/>
          <w:szCs w:val="22"/>
          <w:lang w:bidi="fa-IR"/>
        </w:rPr>
        <w:t xml:space="preserve">daily </w:t>
      </w:r>
      <w:r w:rsidR="00601254" w:rsidRPr="00832F97">
        <w:rPr>
          <w:rFonts w:asciiTheme="majorHAnsi" w:hAnsiTheme="majorHAnsi" w:cstheme="majorHAnsi"/>
          <w:sz w:val="22"/>
          <w:szCs w:val="22"/>
          <w:lang w:bidi="fa-IR"/>
        </w:rPr>
        <w:t>doses over the treatment duration</w:t>
      </w:r>
      <w:r w:rsidR="00601254">
        <w:rPr>
          <w:rFonts w:asciiTheme="majorHAnsi" w:hAnsiTheme="majorHAnsi" w:cstheme="majorHAnsi"/>
          <w:sz w:val="22"/>
          <w:szCs w:val="22"/>
          <w:lang w:bidi="fa-IR"/>
        </w:rPr>
        <w:t xml:space="preserve">, </w:t>
      </w:r>
      <w:r w:rsidR="005E47D8">
        <w:rPr>
          <w:rFonts w:asciiTheme="majorHAnsi" w:hAnsiTheme="majorHAnsi" w:cstheme="majorHAnsi"/>
          <w:sz w:val="22"/>
          <w:szCs w:val="22"/>
          <w:lang w:bidi="fa-IR"/>
        </w:rPr>
        <w:t xml:space="preserve">where </w:t>
      </w:r>
      <w:r w:rsidR="00025D93">
        <w:rPr>
          <w:rFonts w:asciiTheme="majorHAnsi" w:hAnsiTheme="majorHAnsi" w:cstheme="majorHAnsi"/>
          <w:sz w:val="22"/>
          <w:szCs w:val="22"/>
          <w:lang w:bidi="fa-IR"/>
        </w:rPr>
        <w:t xml:space="preserve">patients </w:t>
      </w:r>
      <w:r w:rsidR="00732F40">
        <w:rPr>
          <w:rFonts w:asciiTheme="majorHAnsi" w:hAnsiTheme="majorHAnsi" w:cstheme="majorHAnsi"/>
          <w:sz w:val="22"/>
          <w:szCs w:val="22"/>
          <w:lang w:bidi="fa-IR"/>
        </w:rPr>
        <w:t xml:space="preserve">have only </w:t>
      </w:r>
      <w:r w:rsidR="00025D93">
        <w:rPr>
          <w:rFonts w:asciiTheme="majorHAnsi" w:hAnsiTheme="majorHAnsi" w:cstheme="majorHAnsi"/>
          <w:sz w:val="22"/>
          <w:szCs w:val="22"/>
          <w:lang w:bidi="fa-IR"/>
        </w:rPr>
        <w:t>information available on total mg/kg dose</w:t>
      </w:r>
      <w:r w:rsidR="00900331" w:rsidRPr="00832F97">
        <w:rPr>
          <w:rFonts w:asciiTheme="majorHAnsi" w:hAnsiTheme="majorHAnsi" w:cstheme="majorHAnsi"/>
          <w:sz w:val="22"/>
          <w:szCs w:val="22"/>
          <w:lang w:bidi="fa-IR"/>
        </w:rPr>
        <w:t xml:space="preserve">. </w:t>
      </w:r>
    </w:p>
    <w:p w14:paraId="427BD086" w14:textId="5CAA5FE0" w:rsidR="00D20832" w:rsidRPr="00832F97" w:rsidRDefault="00D20832" w:rsidP="00D20832">
      <w:pPr>
        <w:widowControl w:val="0"/>
        <w:autoSpaceDE w:val="0"/>
        <w:autoSpaceDN w:val="0"/>
        <w:adjustRightInd w:val="0"/>
        <w:spacing w:before="100" w:beforeAutospacing="1" w:after="100" w:afterAutospacing="1" w:line="360" w:lineRule="auto"/>
        <w:jc w:val="both"/>
        <w:rPr>
          <w:rFonts w:asciiTheme="majorHAnsi" w:hAnsiTheme="majorHAnsi" w:cstheme="majorHAnsi"/>
          <w:sz w:val="22"/>
          <w:szCs w:val="22"/>
          <w:lang w:bidi="fa-IR"/>
        </w:rPr>
      </w:pPr>
      <w:r>
        <w:rPr>
          <w:rFonts w:asciiTheme="majorHAnsi" w:hAnsiTheme="majorHAnsi" w:cstheme="majorHAnsi"/>
          <w:sz w:val="22"/>
          <w:szCs w:val="22"/>
          <w:lang w:bidi="fa-IR"/>
        </w:rPr>
        <w:t xml:space="preserve">Adherence </w:t>
      </w:r>
      <w:r w:rsidR="004B782F">
        <w:rPr>
          <w:rFonts w:asciiTheme="majorHAnsi" w:hAnsiTheme="majorHAnsi" w:cstheme="majorHAnsi"/>
          <w:sz w:val="22"/>
          <w:szCs w:val="22"/>
          <w:lang w:bidi="fa-IR"/>
        </w:rPr>
        <w:t xml:space="preserve">for both measures </w:t>
      </w:r>
      <w:r>
        <w:rPr>
          <w:rFonts w:asciiTheme="majorHAnsi" w:hAnsiTheme="majorHAnsi" w:cstheme="majorHAnsi"/>
          <w:sz w:val="22"/>
          <w:szCs w:val="22"/>
          <w:lang w:bidi="fa-IR"/>
        </w:rPr>
        <w:t xml:space="preserve">will be categorized to five groups </w:t>
      </w:r>
      <w:r w:rsidR="008B7E21">
        <w:rPr>
          <w:rFonts w:asciiTheme="majorHAnsi" w:hAnsiTheme="majorHAnsi" w:cstheme="majorHAnsi"/>
          <w:sz w:val="22"/>
          <w:szCs w:val="22"/>
          <w:lang w:bidi="fa-IR"/>
        </w:rPr>
        <w:t>from 0 level of adherence to 100% full adherence</w:t>
      </w:r>
      <w:r w:rsidR="0027424D">
        <w:rPr>
          <w:rFonts w:asciiTheme="majorHAnsi" w:hAnsiTheme="majorHAnsi" w:cstheme="majorHAnsi"/>
          <w:sz w:val="22"/>
          <w:szCs w:val="22"/>
          <w:lang w:bidi="fa-IR"/>
        </w:rPr>
        <w:t>,</w:t>
      </w:r>
      <w:r w:rsidR="008B7E21">
        <w:rPr>
          <w:rFonts w:asciiTheme="majorHAnsi" w:hAnsiTheme="majorHAnsi" w:cstheme="majorHAnsi"/>
          <w:sz w:val="22"/>
          <w:szCs w:val="22"/>
          <w:lang w:bidi="fa-IR"/>
        </w:rPr>
        <w:t xml:space="preserve"> including 100, </w:t>
      </w:r>
      <w:r w:rsidR="00DF40D3">
        <w:rPr>
          <w:rFonts w:asciiTheme="majorHAnsi" w:hAnsiTheme="majorHAnsi" w:cstheme="majorHAnsi"/>
          <w:sz w:val="22"/>
          <w:szCs w:val="22"/>
          <w:lang w:bidi="fa-IR"/>
        </w:rPr>
        <w:t>75-99, 50-74, 25-49, and</w:t>
      </w:r>
      <w:r w:rsidR="001D48BE">
        <w:rPr>
          <w:rFonts w:asciiTheme="majorHAnsi" w:hAnsiTheme="majorHAnsi" w:cstheme="majorHAnsi"/>
          <w:sz w:val="22"/>
          <w:szCs w:val="22"/>
          <w:lang w:bidi="fa-IR"/>
        </w:rPr>
        <w:t xml:space="preserve"> &lt;</w:t>
      </w:r>
      <w:r w:rsidR="00DF40D3">
        <w:rPr>
          <w:rFonts w:asciiTheme="majorHAnsi" w:hAnsiTheme="majorHAnsi" w:cstheme="majorHAnsi"/>
          <w:sz w:val="22"/>
          <w:szCs w:val="22"/>
          <w:lang w:bidi="fa-IR"/>
        </w:rPr>
        <w:t xml:space="preserve"> 25</w:t>
      </w:r>
      <w:r w:rsidR="002D6C82">
        <w:rPr>
          <w:rFonts w:asciiTheme="majorHAnsi" w:hAnsiTheme="majorHAnsi" w:cstheme="majorHAnsi"/>
          <w:sz w:val="22"/>
          <w:szCs w:val="22"/>
          <w:lang w:bidi="fa-IR"/>
        </w:rPr>
        <w:t xml:space="preserve"> percent</w:t>
      </w:r>
      <w:r w:rsidR="00DF40D3">
        <w:rPr>
          <w:rFonts w:asciiTheme="majorHAnsi" w:hAnsiTheme="majorHAnsi" w:cstheme="majorHAnsi"/>
          <w:sz w:val="22"/>
          <w:szCs w:val="22"/>
          <w:lang w:bidi="fa-IR"/>
        </w:rPr>
        <w:t xml:space="preserve">. </w:t>
      </w:r>
    </w:p>
    <w:p w14:paraId="2206AB9E" w14:textId="3E5280FC" w:rsidR="00B62125" w:rsidRDefault="00604E0F" w:rsidP="00BA5B6C">
      <w:pPr>
        <w:widowControl w:val="0"/>
        <w:autoSpaceDE w:val="0"/>
        <w:autoSpaceDN w:val="0"/>
        <w:adjustRightInd w:val="0"/>
        <w:spacing w:before="100" w:beforeAutospacing="1" w:after="100" w:afterAutospacing="1" w:line="360" w:lineRule="auto"/>
        <w:jc w:val="both"/>
        <w:rPr>
          <w:rFonts w:asciiTheme="majorHAnsi" w:hAnsiTheme="majorHAnsi" w:cstheme="majorHAnsi"/>
          <w:sz w:val="22"/>
          <w:szCs w:val="22"/>
        </w:rPr>
      </w:pPr>
      <w:r w:rsidRPr="009E7116">
        <w:rPr>
          <w:rFonts w:asciiTheme="majorHAnsi" w:hAnsiTheme="majorHAnsi" w:cstheme="majorHAnsi"/>
          <w:sz w:val="22"/>
          <w:szCs w:val="22"/>
        </w:rPr>
        <w:t xml:space="preserve">As opposed to adherence to treatment, </w:t>
      </w:r>
      <w:r w:rsidRPr="009E7116">
        <w:rPr>
          <w:rFonts w:asciiTheme="majorHAnsi" w:hAnsiTheme="majorHAnsi" w:cstheme="majorHAnsi"/>
          <w:i/>
          <w:iCs/>
          <w:sz w:val="22"/>
          <w:szCs w:val="22"/>
        </w:rPr>
        <w:t>imperfect adherence</w:t>
      </w:r>
      <w:r w:rsidRPr="009E7116">
        <w:rPr>
          <w:rFonts w:asciiTheme="majorHAnsi" w:hAnsiTheme="majorHAnsi" w:cstheme="majorHAnsi"/>
          <w:sz w:val="22"/>
          <w:szCs w:val="22"/>
        </w:rPr>
        <w:fldChar w:fldCharType="begin" w:fldLock="1"/>
      </w:r>
      <w:r w:rsidR="009E7116">
        <w:rPr>
          <w:rFonts w:asciiTheme="majorHAnsi" w:hAnsiTheme="majorHAnsi" w:cstheme="majorHAnsi"/>
          <w:sz w:val="22"/>
          <w:szCs w:val="22"/>
        </w:rPr>
        <w:instrText>ADDIN CSL_CITATION {"citationItems":[{"id":"ITEM-1","itemData":{"DOI":"10.1186/1475-2875-10-297","ISSN":"14752875","abstract":"Plasmodium vivax is a major cause of febrile illness in endemic areas of Asia, Central and South America, and the horn of Africa. Plasmodium vivax infections are characterized by relapses of malaria arising from persistent liver stages of the parasite (hypnozoites) which can be prevented only by 8-aminoquinoline anti-malarials. Tropical P. vivax relapses at three week intervals if rapidly eliminated anti-malarials are given for treatment, whereas in temperate regions and parts of the sub-tropics P. vivax infections are characterized either by a long incubation or a long-latency period between illness and relapse - in both cases approximating 8-10 months. The epidemiology of the different relapse phenotypes has not been defined adequately despite obvious relevance to malaria control and elimination. The number of sporozoites inoculated by the anopheline mosquito is an important determinant of both the timing and the number of relapses. The intervals between relapses display a remarkable periodicity which has not been explained. Evidence is presented that the proportion of patients who have successive relapses is relatively constant and that the factor which activates hypnozoites and leads to regular interval relapse in vivax malaria is the systemic febrile illness itself. It is proposed that in endemic areas a large proportion of the population harbours latent hypnozoites which can be activated by a systemic illness such as vivax or falciparum malaria. This explains the high rates of vivax following falciparum malaria, the high proportion of heterologous genotypes in relapses, the higher rates of relapse in people living in endemic areas compared with artificial infection studies, and, by facilitating recombination between different genotypes, contributes to P. vivax genetic diversity particularly in low transmission settings. Long-latency P. vivax phenotypes may be more widespread and more prevalent than currently thought. These observations have important implications for the assessment of radical treatment efficacy and for malaria control and elimination. ? 2011 White; licensee BioMed Central Ltd.","author":[{"dropping-particle":"","family":"White","given":"Nicholas J.","non-dropping-particle":"","parse-names":false,"suffix":""}],"container-title":"Malaria Journal","id":"ITEM-1","issued":{"date-parts":[["2011"]]},"title":"Determinants of relapse periodicity in Plasmodium vivax malaria","type":"article"},"uris":["http://www.mendeley.com/documents/?uuid=ef48c1f0-9289-4f20-a344-778183a42283"]}],"mendeley":{"formattedCitation":"(5)","plainTextFormattedCitation":"(5)","previouslyFormattedCitation":"(5)"},"properties":{"noteIndex":0},"schema":"https://github.com/citation-style-language/schema/raw/master/csl-citation.json"}</w:instrText>
      </w:r>
      <w:r w:rsidRPr="009E7116">
        <w:rPr>
          <w:rFonts w:asciiTheme="majorHAnsi" w:hAnsiTheme="majorHAnsi" w:cstheme="majorHAnsi"/>
          <w:sz w:val="22"/>
          <w:szCs w:val="22"/>
        </w:rPr>
        <w:fldChar w:fldCharType="separate"/>
      </w:r>
      <w:r w:rsidRPr="009E7116">
        <w:rPr>
          <w:rFonts w:asciiTheme="majorHAnsi" w:hAnsiTheme="majorHAnsi" w:cstheme="majorHAnsi"/>
          <w:noProof/>
          <w:sz w:val="22"/>
          <w:szCs w:val="22"/>
        </w:rPr>
        <w:t>(5)</w:t>
      </w:r>
      <w:r w:rsidRPr="009E7116">
        <w:rPr>
          <w:rFonts w:asciiTheme="majorHAnsi" w:hAnsiTheme="majorHAnsi" w:cstheme="majorHAnsi"/>
          <w:sz w:val="22"/>
          <w:szCs w:val="22"/>
        </w:rPr>
        <w:fldChar w:fldCharType="end"/>
      </w:r>
      <w:r w:rsidRPr="009E7116">
        <w:rPr>
          <w:rFonts w:asciiTheme="majorHAnsi" w:hAnsiTheme="majorHAnsi" w:cstheme="majorHAnsi"/>
          <w:sz w:val="22"/>
          <w:szCs w:val="22"/>
        </w:rPr>
        <w:t xml:space="preserve"> </w:t>
      </w:r>
      <w:r w:rsidR="00A84C55">
        <w:rPr>
          <w:rFonts w:asciiTheme="majorHAnsi" w:hAnsiTheme="majorHAnsi" w:cstheme="majorHAnsi"/>
          <w:sz w:val="22"/>
          <w:szCs w:val="22"/>
        </w:rPr>
        <w:t>will</w:t>
      </w:r>
      <w:r w:rsidR="00A84C55" w:rsidRPr="009E7116">
        <w:rPr>
          <w:rFonts w:asciiTheme="majorHAnsi" w:hAnsiTheme="majorHAnsi" w:cstheme="majorHAnsi"/>
          <w:sz w:val="22"/>
          <w:szCs w:val="22"/>
        </w:rPr>
        <w:t xml:space="preserve"> </w:t>
      </w:r>
      <w:r w:rsidRPr="009E7116">
        <w:rPr>
          <w:rFonts w:asciiTheme="majorHAnsi" w:hAnsiTheme="majorHAnsi" w:cstheme="majorHAnsi"/>
          <w:sz w:val="22"/>
          <w:szCs w:val="22"/>
        </w:rPr>
        <w:t xml:space="preserve">be defined </w:t>
      </w:r>
      <w:r w:rsidR="00A84C55">
        <w:rPr>
          <w:rFonts w:asciiTheme="majorHAnsi" w:hAnsiTheme="majorHAnsi" w:cstheme="majorHAnsi"/>
          <w:sz w:val="22"/>
          <w:szCs w:val="22"/>
        </w:rPr>
        <w:t>as</w:t>
      </w:r>
      <w:r w:rsidRPr="009E7116">
        <w:rPr>
          <w:rFonts w:asciiTheme="majorHAnsi" w:hAnsiTheme="majorHAnsi" w:cstheme="majorHAnsi"/>
          <w:sz w:val="22"/>
          <w:szCs w:val="22"/>
        </w:rPr>
        <w:t xml:space="preserve"> any deviation or failure from the clinical study protocol </w:t>
      </w:r>
      <w:r w:rsidR="00AB2056">
        <w:rPr>
          <w:rFonts w:asciiTheme="majorHAnsi" w:hAnsiTheme="majorHAnsi" w:cstheme="majorHAnsi"/>
          <w:sz w:val="22"/>
          <w:szCs w:val="22"/>
        </w:rPr>
        <w:t>to</w:t>
      </w:r>
      <w:r w:rsidRPr="009E7116">
        <w:rPr>
          <w:rFonts w:asciiTheme="majorHAnsi" w:hAnsiTheme="majorHAnsi" w:cstheme="majorHAnsi"/>
          <w:sz w:val="22"/>
          <w:szCs w:val="22"/>
        </w:rPr>
        <w:t xml:space="preserve"> follow the prescribed amount of drug in a specific treatment duration by each patient. </w:t>
      </w:r>
      <w:r w:rsidR="00857D44">
        <w:rPr>
          <w:rFonts w:asciiTheme="majorHAnsi" w:hAnsiTheme="majorHAnsi" w:cstheme="majorHAnsi"/>
          <w:sz w:val="22"/>
          <w:szCs w:val="22"/>
        </w:rPr>
        <w:t xml:space="preserve">It will be calculated </w:t>
      </w:r>
      <w:r w:rsidR="00AE49D6">
        <w:rPr>
          <w:rFonts w:asciiTheme="majorHAnsi" w:hAnsiTheme="majorHAnsi" w:cstheme="majorHAnsi"/>
          <w:sz w:val="22"/>
          <w:szCs w:val="22"/>
        </w:rPr>
        <w:t xml:space="preserve">according to </w:t>
      </w:r>
      <w:r w:rsidR="00AC5671">
        <w:rPr>
          <w:rFonts w:asciiTheme="majorHAnsi" w:hAnsiTheme="majorHAnsi" w:cstheme="majorHAnsi"/>
          <w:sz w:val="22"/>
          <w:szCs w:val="22"/>
        </w:rPr>
        <w:t xml:space="preserve">the deviation from </w:t>
      </w:r>
      <w:r w:rsidR="00AE49D6">
        <w:rPr>
          <w:rFonts w:asciiTheme="majorHAnsi" w:hAnsiTheme="majorHAnsi" w:cstheme="majorHAnsi"/>
          <w:sz w:val="22"/>
          <w:szCs w:val="22"/>
        </w:rPr>
        <w:t>full adherence which is 100%</w:t>
      </w:r>
      <w:r w:rsidR="00CB1EDA">
        <w:rPr>
          <w:rFonts w:asciiTheme="majorHAnsi" w:hAnsiTheme="majorHAnsi" w:cstheme="majorHAnsi"/>
          <w:sz w:val="22"/>
          <w:szCs w:val="22"/>
        </w:rPr>
        <w:t xml:space="preserve">. </w:t>
      </w:r>
    </w:p>
    <w:p w14:paraId="31A232D3" w14:textId="77777777" w:rsidR="00A00BED" w:rsidRPr="00965520" w:rsidRDefault="00A00BED" w:rsidP="00A00BED">
      <w:pPr>
        <w:keepNext/>
        <w:numPr>
          <w:ilvl w:val="1"/>
          <w:numId w:val="29"/>
        </w:numPr>
        <w:spacing w:before="100" w:beforeAutospacing="1" w:after="100" w:afterAutospacing="1" w:line="360" w:lineRule="auto"/>
        <w:outlineLvl w:val="1"/>
        <w:rPr>
          <w:rFonts w:ascii="Calibri Light" w:hAnsi="Calibri Light"/>
          <w:i/>
          <w:iCs/>
          <w:color w:val="2E74B5"/>
          <w:sz w:val="26"/>
          <w:lang w:eastAsia="en-AU"/>
        </w:rPr>
      </w:pPr>
      <w:bookmarkStart w:id="23" w:name="_Toc385920014"/>
      <w:bookmarkStart w:id="24" w:name="_Toc457660148"/>
      <w:bookmarkStart w:id="25" w:name="_Toc457660159"/>
      <w:r w:rsidRPr="00965520">
        <w:rPr>
          <w:rFonts w:ascii="Calibri Light" w:hAnsi="Calibri Light"/>
          <w:i/>
          <w:iCs/>
          <w:color w:val="2E74B5"/>
          <w:sz w:val="26"/>
          <w:lang w:eastAsia="en-AU"/>
        </w:rPr>
        <w:t>Study and patient characteristics</w:t>
      </w:r>
      <w:bookmarkEnd w:id="23"/>
      <w:bookmarkEnd w:id="24"/>
    </w:p>
    <w:p w14:paraId="36848D96" w14:textId="77777777" w:rsidR="00A00BED" w:rsidRPr="00965520" w:rsidRDefault="00A00BED" w:rsidP="00A00BED">
      <w:pPr>
        <w:autoSpaceDE w:val="0"/>
        <w:autoSpaceDN w:val="0"/>
        <w:adjustRightInd w:val="0"/>
        <w:spacing w:before="100" w:beforeAutospacing="1" w:after="100" w:afterAutospacing="1" w:line="360" w:lineRule="auto"/>
        <w:jc w:val="both"/>
        <w:rPr>
          <w:rFonts w:ascii="Calibri Light" w:eastAsia="Calibri" w:hAnsi="Calibri Light" w:cs="Calibri Light"/>
          <w:color w:val="000000"/>
          <w:sz w:val="22"/>
          <w:szCs w:val="22"/>
        </w:rPr>
      </w:pPr>
      <w:r w:rsidRPr="00965520">
        <w:rPr>
          <w:rFonts w:ascii="Calibri Light" w:eastAsia="Calibri" w:hAnsi="Calibri Light" w:cs="Calibri Light"/>
          <w:color w:val="000000"/>
          <w:sz w:val="22"/>
          <w:szCs w:val="22"/>
        </w:rPr>
        <w:t>The following baseline characteristics will be examined:</w:t>
      </w:r>
    </w:p>
    <w:p w14:paraId="16389188" w14:textId="77777777" w:rsidR="00A00BED" w:rsidRPr="00965520" w:rsidRDefault="00A00BED" w:rsidP="00A00BED">
      <w:pPr>
        <w:spacing w:before="100" w:beforeAutospacing="1" w:after="100" w:afterAutospacing="1" w:line="360" w:lineRule="auto"/>
        <w:ind w:firstLine="720"/>
        <w:jc w:val="both"/>
        <w:rPr>
          <w:rFonts w:ascii="Calibri Light" w:hAnsi="Calibri Light" w:cs="Calibri Light"/>
          <w:b/>
          <w:noProof/>
          <w:color w:val="000000"/>
          <w:sz w:val="22"/>
          <w:szCs w:val="22"/>
        </w:rPr>
      </w:pPr>
      <w:r w:rsidRPr="00965520">
        <w:rPr>
          <w:rFonts w:ascii="Calibri Light" w:hAnsi="Calibri Light" w:cs="Calibri Light"/>
          <w:b/>
          <w:noProof/>
          <w:color w:val="000000"/>
          <w:sz w:val="22"/>
          <w:szCs w:val="22"/>
        </w:rPr>
        <w:t>Site</w:t>
      </w:r>
      <w:r w:rsidRPr="00965520">
        <w:rPr>
          <w:rFonts w:ascii="Calibri Light" w:hAnsi="Calibri Light" w:cs="Calibri Light"/>
          <w:noProof/>
          <w:color w:val="000000"/>
          <w:sz w:val="22"/>
          <w:szCs w:val="22"/>
        </w:rPr>
        <w:t xml:space="preserve">: transmission intensity, regional relapse periodicity </w:t>
      </w:r>
    </w:p>
    <w:p w14:paraId="1333C050" w14:textId="77777777" w:rsidR="00A00BED" w:rsidRPr="00965520" w:rsidRDefault="00A00BED" w:rsidP="00A00BED">
      <w:pPr>
        <w:spacing w:before="100" w:beforeAutospacing="1" w:after="100" w:afterAutospacing="1" w:line="360" w:lineRule="auto"/>
        <w:ind w:left="720"/>
        <w:jc w:val="both"/>
        <w:rPr>
          <w:rFonts w:ascii="Calibri Light" w:hAnsi="Calibri Light" w:cs="Calibri Light"/>
          <w:noProof/>
          <w:color w:val="000000"/>
          <w:sz w:val="22"/>
          <w:szCs w:val="22"/>
        </w:rPr>
      </w:pPr>
      <w:r w:rsidRPr="00965520">
        <w:rPr>
          <w:rFonts w:ascii="Calibri Light" w:hAnsi="Calibri Light" w:cs="Calibri Light"/>
          <w:b/>
          <w:noProof/>
          <w:color w:val="000000"/>
          <w:sz w:val="22"/>
          <w:szCs w:val="22"/>
        </w:rPr>
        <w:t>Patient:</w:t>
      </w:r>
      <w:r w:rsidRPr="00965520">
        <w:rPr>
          <w:rFonts w:ascii="Calibri Light" w:hAnsi="Calibri Light" w:cs="Calibri Light"/>
          <w:noProof/>
          <w:color w:val="000000"/>
          <w:sz w:val="22"/>
          <w:szCs w:val="22"/>
        </w:rPr>
        <w:t xml:space="preserve"> age, sex, weight, nutritional status, history of malaria in the last 28 days, history of fever in the last 24 hours, fever (&gt;37.5</w:t>
      </w:r>
      <w:r w:rsidRPr="00965520">
        <w:rPr>
          <w:rFonts w:ascii="Calibri Light" w:hAnsi="Calibri Light" w:cs="Calibri Light"/>
          <w:sz w:val="22"/>
          <w:szCs w:val="22"/>
          <w:vertAlign w:val="superscript"/>
        </w:rPr>
        <w:t>0</w:t>
      </w:r>
      <w:r w:rsidRPr="00965520">
        <w:rPr>
          <w:rFonts w:ascii="Calibri Light" w:hAnsi="Calibri Light" w:cs="Calibri Light"/>
          <w:sz w:val="22"/>
          <w:szCs w:val="22"/>
        </w:rPr>
        <w:t>C axillary), G6PD status</w:t>
      </w:r>
    </w:p>
    <w:p w14:paraId="43656F7D" w14:textId="77777777" w:rsidR="00A00BED" w:rsidRPr="00965520" w:rsidRDefault="00A00BED" w:rsidP="00A00BED">
      <w:pPr>
        <w:spacing w:before="100" w:beforeAutospacing="1" w:after="100" w:afterAutospacing="1" w:line="360" w:lineRule="auto"/>
        <w:ind w:left="720"/>
        <w:jc w:val="both"/>
        <w:rPr>
          <w:rFonts w:ascii="Calibri Light" w:hAnsi="Calibri Light" w:cs="Calibri Light"/>
          <w:noProof/>
          <w:color w:val="000000"/>
          <w:sz w:val="22"/>
          <w:szCs w:val="22"/>
        </w:rPr>
      </w:pPr>
      <w:r w:rsidRPr="00965520">
        <w:rPr>
          <w:rFonts w:ascii="Calibri Light" w:hAnsi="Calibri Light" w:cs="Calibri Light"/>
          <w:b/>
          <w:noProof/>
          <w:color w:val="000000"/>
          <w:sz w:val="22"/>
          <w:szCs w:val="22"/>
        </w:rPr>
        <w:t>Drug</w:t>
      </w:r>
      <w:r w:rsidRPr="00965520">
        <w:rPr>
          <w:rFonts w:ascii="Calibri Light" w:hAnsi="Calibri Light" w:cs="Calibri Light"/>
          <w:noProof/>
          <w:color w:val="000000"/>
          <w:sz w:val="22"/>
          <w:szCs w:val="22"/>
        </w:rPr>
        <w:t>: schizontocidal treatment and mg/kg dose, primaquine timing and mg/kg dose, early vomiting of the drug (within 1 hour)</w:t>
      </w:r>
    </w:p>
    <w:p w14:paraId="2572F19E" w14:textId="77777777" w:rsidR="00A00BED" w:rsidRPr="00965520" w:rsidRDefault="00A00BED" w:rsidP="00A00BED">
      <w:pPr>
        <w:spacing w:before="100" w:beforeAutospacing="1" w:after="100" w:afterAutospacing="1" w:line="360" w:lineRule="auto"/>
        <w:ind w:left="720"/>
        <w:jc w:val="both"/>
        <w:rPr>
          <w:rFonts w:ascii="Calibri Light" w:hAnsi="Calibri Light" w:cs="Calibri Light"/>
          <w:noProof/>
          <w:color w:val="000000"/>
          <w:sz w:val="22"/>
          <w:szCs w:val="22"/>
        </w:rPr>
      </w:pPr>
      <w:r w:rsidRPr="00965520">
        <w:rPr>
          <w:rFonts w:ascii="Calibri Light" w:hAnsi="Calibri Light" w:cs="Calibri Light"/>
          <w:b/>
          <w:noProof/>
          <w:color w:val="000000"/>
          <w:sz w:val="22"/>
          <w:szCs w:val="22"/>
        </w:rPr>
        <w:t>Laboratory:</w:t>
      </w:r>
      <w:r w:rsidRPr="00965520">
        <w:rPr>
          <w:rFonts w:ascii="Calibri Light" w:hAnsi="Calibri Light" w:cs="Calibri Light"/>
          <w:noProof/>
          <w:color w:val="000000"/>
          <w:sz w:val="22"/>
          <w:szCs w:val="22"/>
        </w:rPr>
        <w:t xml:space="preserve"> parasitaemia, gametocytaemia, haemoglobin concentration</w:t>
      </w:r>
    </w:p>
    <w:p w14:paraId="45AC00C2" w14:textId="77777777" w:rsidR="00A00BED" w:rsidRPr="00965520" w:rsidRDefault="00A00BED" w:rsidP="00A00BED">
      <w:pPr>
        <w:spacing w:before="100" w:beforeAutospacing="1" w:after="100" w:afterAutospacing="1" w:line="360" w:lineRule="auto"/>
        <w:jc w:val="both"/>
        <w:rPr>
          <w:rFonts w:ascii="Calibri Light" w:hAnsi="Calibri Light" w:cs="Calibri Light"/>
          <w:noProof/>
          <w:color w:val="000000"/>
          <w:sz w:val="22"/>
          <w:szCs w:val="22"/>
        </w:rPr>
      </w:pPr>
      <w:r w:rsidRPr="00965520">
        <w:rPr>
          <w:rFonts w:ascii="Calibri Light" w:hAnsi="Calibri Light" w:cs="Calibri Light"/>
          <w:noProof/>
          <w:color w:val="000000"/>
          <w:sz w:val="22"/>
          <w:szCs w:val="22"/>
        </w:rPr>
        <w:t xml:space="preserve">For each study, locations of study sites will be recorded. Each location will be categorised into: </w:t>
      </w:r>
    </w:p>
    <w:p w14:paraId="72A5DB74" w14:textId="1DD066DF" w:rsidR="00A00BED" w:rsidRPr="00965520" w:rsidRDefault="00A00BED" w:rsidP="00A00BED">
      <w:pPr>
        <w:numPr>
          <w:ilvl w:val="0"/>
          <w:numId w:val="7"/>
        </w:numPr>
        <w:spacing w:before="100" w:beforeAutospacing="1" w:after="100" w:afterAutospacing="1" w:line="360" w:lineRule="auto"/>
        <w:contextualSpacing/>
        <w:jc w:val="both"/>
        <w:rPr>
          <w:rFonts w:ascii="Calibri Light" w:eastAsia="Calibri" w:hAnsi="Calibri Light" w:cs="Calibri Light"/>
          <w:noProof/>
          <w:color w:val="000000"/>
          <w:sz w:val="22"/>
          <w:szCs w:val="22"/>
        </w:rPr>
      </w:pPr>
      <w:r w:rsidRPr="00965520">
        <w:rPr>
          <w:rFonts w:ascii="Calibri Light" w:eastAsia="Calibri" w:hAnsi="Calibri Light" w:cs="Calibri Light"/>
          <w:i/>
          <w:noProof/>
          <w:color w:val="000000"/>
          <w:sz w:val="22"/>
          <w:szCs w:val="22"/>
        </w:rPr>
        <w:lastRenderedPageBreak/>
        <w:t>Low, moderate and high transmission settings</w:t>
      </w:r>
      <w:r w:rsidRPr="00965520">
        <w:rPr>
          <w:rFonts w:ascii="Calibri Light" w:eastAsia="Calibri" w:hAnsi="Calibri Light" w:cs="Calibri Light"/>
          <w:noProof/>
          <w:color w:val="000000"/>
          <w:sz w:val="22"/>
          <w:szCs w:val="22"/>
        </w:rPr>
        <w:t xml:space="preserve"> based on the observed study site reinfection rate and the malaria endemicity estimates obtained for study sites and year from the Malaria Atlas Project</w:t>
      </w:r>
      <w:r w:rsidRPr="00965520">
        <w:rPr>
          <w:rFonts w:ascii="Calibri Light" w:eastAsia="Calibri" w:hAnsi="Calibri Light" w:cs="Calibri Light"/>
          <w:noProof/>
          <w:color w:val="000000"/>
          <w:sz w:val="22"/>
          <w:szCs w:val="22"/>
        </w:rPr>
        <w:fldChar w:fldCharType="begin" w:fldLock="1"/>
      </w:r>
      <w:r w:rsidR="00181283">
        <w:rPr>
          <w:rFonts w:ascii="Calibri Light" w:eastAsia="Calibri" w:hAnsi="Calibri Light" w:cs="Calibri Light"/>
          <w:noProof/>
          <w:color w:val="000000"/>
          <w:sz w:val="22"/>
          <w:szCs w:val="22"/>
        </w:rPr>
        <w:instrText>ADDIN CSL_CITATION {"citationItems":[{"id":"ITEM-1","itemData":{"DOI":"10.1371/journal.pntd.0001814","ISSN":"19352727","abstract":"BACKGROUND Current understanding of the spatial epidemiology and geographical distribution of Plasmodium vivax is far less developed than that for P. falciparum, representing a barrier to rational strategies for control and elimination. Here we present the first systematic effort to map the global endemicity of this hitherto neglected parasite. METHODOLOGY AND FINDINGS We first updated to the year 2010 our earlier estimate of the geographical limits of P. vivax transmission. Within areas of stable transmission, an assembly of 9,970 geopositioned P. vivax parasite rate (PvPR) surveys collected from 1985 to 2010 were used with a spatiotemporal Bayesian model-based geostatistical approach to estimate endemicity age-standardised to the 1-99 year age range (PvPR(1-99)) within every 5×5 km resolution grid square. The model incorporated data on Duffy negative phenotype frequency to suppress endemicity predictions, particularly in Africa. Endemicity was predicted within a relatively narrow range throughout the endemic world, with the point estimate rarely exceeding 7% PvPR(1-99). The Americas contributed 22% of the global area at risk of P. vivax transmission, but high endemic areas were generally sparsely populated and the region contributed only 6% of the 2.5 billion people at risk (PAR) globally. In Africa, Duffy negativity meant stable transmission was constrained to Madagascar and parts of the Horn, contributing 3.5% of global PAR. Central Asia was home to 82% of global PAR with important high endemic areas coinciding with dense populations particularly in India and Myanmar. South East Asia contained areas of the highest endemicity in Indonesia and Papua New Guinea and contributed 9% of global PAR. CONCLUSIONS AND SIGNIFICANCE This detailed depiction of spatially varying endemicity is intended to contribute to a much-needed paradigm shift towards geographically stratified and evidence-based planning for P. vivax control and elimination.","author":[{"dropping-particle":"","family":"Gething","given":"Peter W.","non-dropping-particle":"","parse-names":false,"suffix":""},{"dropping-particle":"","family":"Elyazar","given":"Iqbal R.F.","non-dropping-particle":"","parse-names":false,"suffix":""},{"dropping-particle":"","family":"Moyes","given":"Catherine L.","non-dropping-particle":"","parse-names":false,"suffix":""},{"dropping-particle":"","family":"Smith","given":"David L.","non-dropping-particle":"","parse-names":false,"suffix":""},{"dropping-particle":"","family":"Battle","given":"Katherine E.","non-dropping-particle":"","parse-names":false,"suffix":""},{"dropping-particle":"","family":"Guerra","given":"Carlos A.","non-dropping-particle":"","parse-names":false,"suffix":""},{"dropping-particle":"","family":"Patil","given":"Anand P.","non-dropping-particle":"","parse-names":false,"suffix":""},{"dropping-particle":"","family":"Tatem","given":"Andrew J.","non-dropping-particle":"","parse-names":false,"suffix":""},{"dropping-particle":"","family":"Howes","given":"Rosalind E.","non-dropping-particle":"","parse-names":false,"suffix":""},{"dropping-particle":"","family":"Myers","given":"Monica F.","non-dropping-particle":"","parse-names":false,"suffix":""},{"dropping-particle":"","family":"George","given":"Dylan B.","non-dropping-particle":"","parse-names":false,"suffix":""},{"dropping-particle":"","family":"Horby","given":"Peter","non-dropping-particle":"","parse-names":false,"suffix":""},{"dropping-particle":"","family":"Wertheim","given":"Heiman F.L.","non-dropping-particle":"","parse-names":false,"suffix":""},{"dropping-particle":"","family":"Price","given":"Ric N.","non-dropping-particle":"","parse-names":false,"suffix":""},{"dropping-particle":"","family":"Müeller","given":"Ivo","non-dropping-particle":"","parse-names":false,"suffix":""},{"dropping-particle":"","family":"Baird","given":"J. Kevin","non-dropping-particle":"","parse-names":false,"suffix":""},{"dropping-particle":"","family":"Hay","given":"Simon I.","non-dropping-particle":"","parse-names":false,"suffix":""}],"container-title":"PLoS Neglected Tropical Diseases","id":"ITEM-1","issued":{"date-parts":[["2012"]]},"title":"A Long Neglected World Malaria Map: Plasmodium vivax Endemicity in 2010","type":"article-journal"},"uris":["http://www.mendeley.com/documents/?uuid=4a4659ce-c891-45cc-9940-b65b42b44e07"]}],"mendeley":{"formattedCitation":"(6)","plainTextFormattedCitation":"(6)","previouslyFormattedCitation":"(32)"},"properties":{"noteIndex":0},"schema":"https://github.com/citation-style-language/schema/raw/master/csl-citation.json"}</w:instrText>
      </w:r>
      <w:r w:rsidRPr="00965520">
        <w:rPr>
          <w:rFonts w:ascii="Calibri Light" w:eastAsia="Calibri" w:hAnsi="Calibri Light" w:cs="Calibri Light"/>
          <w:noProof/>
          <w:color w:val="000000"/>
          <w:sz w:val="22"/>
          <w:szCs w:val="22"/>
        </w:rPr>
        <w:fldChar w:fldCharType="separate"/>
      </w:r>
      <w:r w:rsidR="00181283" w:rsidRPr="00181283">
        <w:rPr>
          <w:rFonts w:ascii="Calibri Light" w:eastAsia="Calibri" w:hAnsi="Calibri Light" w:cs="Calibri Light"/>
          <w:noProof/>
          <w:color w:val="000000"/>
          <w:sz w:val="22"/>
          <w:szCs w:val="22"/>
        </w:rPr>
        <w:t>(6)</w:t>
      </w:r>
      <w:r w:rsidRPr="00965520">
        <w:rPr>
          <w:rFonts w:ascii="Calibri Light" w:eastAsia="Calibri" w:hAnsi="Calibri Light" w:cs="Calibri Light"/>
          <w:noProof/>
          <w:color w:val="000000"/>
          <w:sz w:val="22"/>
          <w:szCs w:val="22"/>
        </w:rPr>
        <w:fldChar w:fldCharType="end"/>
      </w:r>
      <w:r w:rsidRPr="00965520">
        <w:rPr>
          <w:rFonts w:ascii="Calibri Light" w:eastAsia="Calibri" w:hAnsi="Calibri Light" w:cs="Calibri Light"/>
          <w:noProof/>
          <w:color w:val="000000"/>
          <w:sz w:val="22"/>
          <w:szCs w:val="22"/>
        </w:rPr>
        <w:t xml:space="preserve">. </w:t>
      </w:r>
      <w:proofErr w:type="spellStart"/>
      <w:r w:rsidRPr="00965520">
        <w:rPr>
          <w:rFonts w:ascii="Calibri Light" w:eastAsia="Calibri" w:hAnsi="Calibri Light" w:cs="Calibri Light"/>
          <w:sz w:val="22"/>
          <w:szCs w:val="22"/>
        </w:rPr>
        <w:t>PvPR</w:t>
      </w:r>
      <w:proofErr w:type="spellEnd"/>
      <w:r w:rsidRPr="00965520">
        <w:rPr>
          <w:rFonts w:ascii="Calibri Light" w:eastAsia="Calibri" w:hAnsi="Calibri Light" w:cs="Calibri Light"/>
          <w:sz w:val="22"/>
          <w:szCs w:val="22"/>
        </w:rPr>
        <w:t xml:space="preserve">&lt;0.015 will be categorized as “low” transmission areas, </w:t>
      </w:r>
      <w:proofErr w:type="spellStart"/>
      <w:r w:rsidRPr="00965520">
        <w:rPr>
          <w:rFonts w:ascii="Calibri Light" w:eastAsia="Calibri" w:hAnsi="Calibri Light" w:cs="Calibri Light"/>
          <w:sz w:val="22"/>
          <w:szCs w:val="22"/>
        </w:rPr>
        <w:t>PvPR</w:t>
      </w:r>
      <w:proofErr w:type="spellEnd"/>
      <w:r w:rsidRPr="00965520">
        <w:rPr>
          <w:rFonts w:ascii="Calibri Light" w:eastAsia="Calibri" w:hAnsi="Calibri Light" w:cs="Calibri Light"/>
          <w:sz w:val="22"/>
          <w:szCs w:val="22"/>
        </w:rPr>
        <w:sym w:font="Symbol" w:char="F0B3"/>
      </w:r>
      <w:r w:rsidRPr="00965520">
        <w:rPr>
          <w:rFonts w:ascii="Calibri Light" w:eastAsia="Calibri" w:hAnsi="Calibri Light" w:cs="Calibri Light"/>
          <w:sz w:val="22"/>
          <w:szCs w:val="22"/>
        </w:rPr>
        <w:t xml:space="preserve">0.015 &amp; &lt;0.040 were classified as “moderate” transmission areas, and </w:t>
      </w:r>
      <w:proofErr w:type="spellStart"/>
      <w:r w:rsidRPr="00965520">
        <w:rPr>
          <w:rFonts w:ascii="Calibri Light" w:eastAsia="Calibri" w:hAnsi="Calibri Light" w:cs="Calibri Light"/>
          <w:sz w:val="22"/>
          <w:szCs w:val="22"/>
        </w:rPr>
        <w:t>PvPR</w:t>
      </w:r>
      <w:proofErr w:type="spellEnd"/>
      <w:r w:rsidRPr="00965520">
        <w:rPr>
          <w:rFonts w:ascii="Calibri Light" w:eastAsia="Calibri" w:hAnsi="Calibri Light" w:cs="Calibri Light"/>
          <w:sz w:val="22"/>
          <w:szCs w:val="22"/>
        </w:rPr>
        <w:sym w:font="Symbol" w:char="F0B3"/>
      </w:r>
      <w:r w:rsidRPr="00965520">
        <w:rPr>
          <w:rFonts w:ascii="Calibri Light" w:eastAsia="Calibri" w:hAnsi="Calibri Light" w:cs="Calibri Light"/>
          <w:sz w:val="22"/>
          <w:szCs w:val="22"/>
        </w:rPr>
        <w:t xml:space="preserve"> 0.040 were classified as “high” transmission areas.</w:t>
      </w:r>
    </w:p>
    <w:p w14:paraId="5FE0EE32" w14:textId="0E55A02D" w:rsidR="00A00BED" w:rsidRPr="00965520" w:rsidRDefault="00A00BED" w:rsidP="00A00BED">
      <w:pPr>
        <w:numPr>
          <w:ilvl w:val="0"/>
          <w:numId w:val="7"/>
        </w:numPr>
        <w:spacing w:before="100" w:beforeAutospacing="1" w:after="100" w:afterAutospacing="1" w:line="360" w:lineRule="auto"/>
        <w:contextualSpacing/>
        <w:jc w:val="both"/>
        <w:rPr>
          <w:rFonts w:ascii="Calibri Light" w:eastAsia="Calibri" w:hAnsi="Calibri Light" w:cs="Calibri Light"/>
          <w:noProof/>
          <w:color w:val="000000"/>
          <w:sz w:val="22"/>
          <w:szCs w:val="22"/>
        </w:rPr>
      </w:pPr>
      <w:r w:rsidRPr="00965520">
        <w:rPr>
          <w:rFonts w:ascii="Calibri Light" w:eastAsia="Calibri" w:hAnsi="Calibri Light" w:cs="Calibri Light"/>
          <w:i/>
          <w:noProof/>
          <w:color w:val="000000"/>
          <w:sz w:val="22"/>
          <w:szCs w:val="22"/>
        </w:rPr>
        <w:t>Low (long) and high (short) periodicity</w:t>
      </w:r>
      <w:r w:rsidRPr="00965520">
        <w:rPr>
          <w:rFonts w:ascii="Calibri Light" w:eastAsia="Calibri" w:hAnsi="Calibri Light" w:cs="Calibri Light"/>
          <w:noProof/>
          <w:color w:val="000000"/>
          <w:sz w:val="22"/>
          <w:szCs w:val="22"/>
        </w:rPr>
        <w:t xml:space="preserve"> </w:t>
      </w:r>
      <w:r w:rsidRPr="00965520">
        <w:rPr>
          <w:rFonts w:ascii="Calibri Light" w:eastAsia="Calibri" w:hAnsi="Calibri Light" w:cs="Calibri Light"/>
          <w:i/>
          <w:noProof/>
          <w:color w:val="000000"/>
          <w:sz w:val="22"/>
          <w:szCs w:val="22"/>
        </w:rPr>
        <w:t>of relapses</w:t>
      </w:r>
      <w:r w:rsidRPr="00965520">
        <w:rPr>
          <w:rFonts w:ascii="Calibri Light" w:eastAsia="Calibri" w:hAnsi="Calibri Light" w:cs="Calibri Light"/>
          <w:noProof/>
          <w:color w:val="000000"/>
          <w:sz w:val="22"/>
          <w:szCs w:val="22"/>
        </w:rPr>
        <w:t xml:space="preserve"> according to Battle’s regions</w:t>
      </w:r>
      <w:r w:rsidRPr="00965520">
        <w:rPr>
          <w:rFonts w:ascii="Calibri Light" w:eastAsia="Calibri" w:hAnsi="Calibri Light" w:cs="Calibri Light"/>
          <w:noProof/>
          <w:color w:val="000000"/>
          <w:sz w:val="22"/>
          <w:szCs w:val="22"/>
        </w:rPr>
        <w:fldChar w:fldCharType="begin" w:fldLock="1"/>
      </w:r>
      <w:r w:rsidR="00181283">
        <w:rPr>
          <w:rFonts w:ascii="Calibri Light" w:eastAsia="Calibri" w:hAnsi="Calibri Light" w:cs="Calibri Light"/>
          <w:noProof/>
          <w:color w:val="000000"/>
          <w:sz w:val="22"/>
          <w:szCs w:val="22"/>
        </w:rPr>
        <w:instrText>ADDIN CSL_CITATION {"citationItems":[{"id":"ITEM-1","itemData":{"DOI":"10.1186/1475-2875-13-144","ISSN":"14752875","abstract":"BACKGROUND Plasmodium vivax has the widest geographic distribution of the human malaria parasites and nearly 2.5 billion people live at risk of infection. The control of P. vivax in individuals and populations is complicated by its ability to relapse weeks to months after initial infection. Strains of P. vivax from different geographical areas are thought to exhibit varied relapse timings. In tropical regions strains relapse quickly (three to six weeks), whereas those in temperate regions do so more slowly (six to twelve months), but no comprehensive assessment of evidence has been conducted. Here observed patterns of relapse periodicity are used to generate predictions of relapse incidence within geographic regions representative of varying parasite transmission. METHODS A global review of reports of P. vivax relapse in patients not treated with a radical cure was conducted. Records of time to first P. vivax relapse were positioned by geographic origin relative to expert opinion regions of relapse behaviour and epidemiological zones. Mixed-effects meta-analysis was conducted to determine which geographic classification best described the data, such that a description of the pattern of relapse periodicity within each region could be described. Model outputs of incidence and mean time to relapse were mapped to illustrate the global variation in relapse. RESULTS Differences in relapse periodicity were best described by a historical geographic classification system used to describe malaria transmission zones based on areas sharing zoological and ecological features. Maps of incidence and time to relapse showed high relapse frequency to be predominant in tropical regions and prolonged relapse in temperate areas. CONCLUSIONS The results indicate that relapse periodicity varies systematically by geographic region and are categorized by nine global regions characterized by similar malaria transmission dynamics. This indicates that relapse may be an adaptation evolved to exploit seasonal changes in vector survival and therefore optimize transmission. Geographic patterns in P. vivax relapse are important to clinicians treating individual infections, epidemiologists trying to infer P. vivax burden, and public health officials trying to control and eliminate the disease in human populations.","author":[{"dropping-particle":"","family":"Battle","given":"Katherine E.","non-dropping-particle":"","parse-names":false,"suffix":""},{"dropping-particle":"","family":"Karhunen","given":"Markku S.","non-dropping-particle":"","parse-names":false,"suffix":""},{"dropping-particle":"","family":"Bhatt","given":"Samir","non-dropping-particle":"","parse-names":false,"suffix":""},{"dropping-particle":"","family":"Gething","given":"Peter W.","non-dropping-particle":"","parse-names":false,"suffix":""},{"dropping-particle":"","family":"Howes","given":"Rosalind E.","non-dropping-particle":"","parse-names":false,"suffix":""},{"dropping-particle":"","family":"Golding","given":"Nick","non-dropping-particle":"","parse-names":false,"suffix":""},{"dropping-particle":"","family":"Boeckel","given":"Thomas P.","non-dropping-particle":"Van","parse-names":false,"suffix":""},{"dropping-particle":"","family":"Messina","given":"Jane P.","non-dropping-particle":"","parse-names":false,"suffix":""},{"dropping-particle":"","family":"Shanks","given":"G. Dennis","non-dropping-particle":"","parse-names":false,"suffix":""},{"dropping-particle":"","family":"Smith","given":"David L.","non-dropping-particle":"","parse-names":false,"suffix":""},{"dropping-particle":"","family":"Baird","given":"J. Kevin","non-dropping-particle":"","parse-names":false,"suffix":""},{"dropping-particle":"","family":"Hay","given":"Simon I.","non-dropping-particle":"","parse-names":false,"suffix":""}],"container-title":"Malaria Journal","id":"ITEM-1","issued":{"date-parts":[["2014"]]},"title":"Geographical variation in Plasmodium vivax relapse","type":"article-journal"},"uris":["http://www.mendeley.com/documents/?uuid=b758e79e-ff8d-46fa-8bc1-24634f42437f"]}],"mendeley":{"formattedCitation":"(7)","plainTextFormattedCitation":"(7)","previouslyFormattedCitation":"(33)"},"properties":{"noteIndex":0},"schema":"https://github.com/citation-style-language/schema/raw/master/csl-citation.json"}</w:instrText>
      </w:r>
      <w:r w:rsidRPr="00965520">
        <w:rPr>
          <w:rFonts w:ascii="Calibri Light" w:eastAsia="Calibri" w:hAnsi="Calibri Light" w:cs="Calibri Light"/>
          <w:noProof/>
          <w:color w:val="000000"/>
          <w:sz w:val="22"/>
          <w:szCs w:val="22"/>
        </w:rPr>
        <w:fldChar w:fldCharType="separate"/>
      </w:r>
      <w:r w:rsidR="00181283" w:rsidRPr="00181283">
        <w:rPr>
          <w:rFonts w:ascii="Calibri Light" w:eastAsia="Calibri" w:hAnsi="Calibri Light" w:cs="Calibri Light"/>
          <w:noProof/>
          <w:color w:val="000000"/>
          <w:sz w:val="22"/>
          <w:szCs w:val="22"/>
        </w:rPr>
        <w:t>(7)</w:t>
      </w:r>
      <w:r w:rsidRPr="00965520">
        <w:rPr>
          <w:rFonts w:ascii="Calibri Light" w:eastAsia="Calibri" w:hAnsi="Calibri Light" w:cs="Calibri Light"/>
          <w:noProof/>
          <w:color w:val="000000"/>
          <w:sz w:val="22"/>
          <w:szCs w:val="22"/>
        </w:rPr>
        <w:fldChar w:fldCharType="end"/>
      </w:r>
      <w:r w:rsidRPr="00965520">
        <w:rPr>
          <w:rFonts w:ascii="Calibri Light" w:eastAsia="Calibri" w:hAnsi="Calibri Light" w:cs="Calibri Light"/>
          <w:noProof/>
          <w:color w:val="000000"/>
          <w:sz w:val="22"/>
          <w:szCs w:val="22"/>
        </w:rPr>
        <w:t xml:space="preserve">, with high periodicity considered to include regions where the median periodicity was ≤42 days. Thus regions with the two highest periodicities (region 10 and 12) where the median periodicity is &lt;47 days will be categorised as “high” and others will be categorised as “low”. </w:t>
      </w:r>
    </w:p>
    <w:p w14:paraId="531ED425" w14:textId="77777777" w:rsidR="00A00BED" w:rsidRPr="00965520" w:rsidRDefault="00A00BED" w:rsidP="00A00BED">
      <w:pPr>
        <w:spacing w:before="100" w:beforeAutospacing="1" w:after="100" w:afterAutospacing="1" w:line="360" w:lineRule="auto"/>
        <w:jc w:val="both"/>
        <w:rPr>
          <w:rFonts w:ascii="Calibri Light" w:hAnsi="Calibri Light" w:cs="Calibri Light"/>
          <w:sz w:val="22"/>
          <w:szCs w:val="22"/>
        </w:rPr>
      </w:pPr>
      <w:r w:rsidRPr="00965520">
        <w:rPr>
          <w:rFonts w:ascii="Calibri Light" w:hAnsi="Calibri Light" w:cs="Calibri Light"/>
          <w:i/>
          <w:sz w:val="22"/>
          <w:szCs w:val="22"/>
        </w:rPr>
        <w:t xml:space="preserve">Age </w:t>
      </w:r>
      <w:r w:rsidRPr="00965520">
        <w:rPr>
          <w:rFonts w:ascii="Calibri Light" w:hAnsi="Calibri Light" w:cs="Calibri Light"/>
          <w:sz w:val="22"/>
          <w:szCs w:val="22"/>
        </w:rPr>
        <w:t>- Children will be considered as aged &lt;15 years with childhood age-stratified into &lt;5 years and 5 to &lt;15 years.</w:t>
      </w:r>
    </w:p>
    <w:p w14:paraId="60BD836E" w14:textId="1D2D8F42" w:rsidR="00A00BED" w:rsidRPr="00965520" w:rsidRDefault="00A00BED" w:rsidP="00A00BED">
      <w:pPr>
        <w:spacing w:before="100" w:beforeAutospacing="1" w:after="100" w:afterAutospacing="1" w:line="360" w:lineRule="auto"/>
        <w:jc w:val="both"/>
        <w:rPr>
          <w:rFonts w:ascii="Calibri Light" w:hAnsi="Calibri Light" w:cs="Calibri Light"/>
          <w:noProof/>
          <w:color w:val="000000"/>
          <w:sz w:val="22"/>
          <w:szCs w:val="22"/>
        </w:rPr>
      </w:pPr>
      <w:r w:rsidRPr="00965520">
        <w:rPr>
          <w:rFonts w:ascii="Calibri Light" w:hAnsi="Calibri Light" w:cs="Calibri Light"/>
          <w:i/>
          <w:noProof/>
          <w:color w:val="000000"/>
          <w:sz w:val="22"/>
          <w:szCs w:val="22"/>
        </w:rPr>
        <w:t>Nutritional status</w:t>
      </w:r>
      <w:r w:rsidRPr="00965520">
        <w:rPr>
          <w:rFonts w:ascii="Calibri Light" w:hAnsi="Calibri Light" w:cs="Calibri Light"/>
          <w:noProof/>
          <w:color w:val="000000"/>
          <w:sz w:val="22"/>
          <w:szCs w:val="22"/>
        </w:rPr>
        <w:t xml:space="preserve"> </w:t>
      </w:r>
      <w:r>
        <w:rPr>
          <w:rFonts w:ascii="Calibri Light" w:hAnsi="Calibri Light" w:cs="Calibri Light"/>
          <w:noProof/>
          <w:color w:val="000000"/>
          <w:sz w:val="22"/>
          <w:szCs w:val="22"/>
        </w:rPr>
        <w:t>–</w:t>
      </w:r>
      <w:r w:rsidRPr="00965520">
        <w:rPr>
          <w:rFonts w:ascii="Calibri Light" w:hAnsi="Calibri Light" w:cs="Calibri Light"/>
          <w:noProof/>
          <w:color w:val="000000"/>
          <w:sz w:val="22"/>
          <w:szCs w:val="22"/>
        </w:rPr>
        <w:t xml:space="preserve"> </w:t>
      </w:r>
      <w:r>
        <w:rPr>
          <w:rFonts w:ascii="Calibri Light" w:hAnsi="Calibri Light" w:cs="Calibri Light"/>
          <w:noProof/>
          <w:color w:val="000000"/>
          <w:sz w:val="22"/>
          <w:szCs w:val="22"/>
        </w:rPr>
        <w:t>For c</w:t>
      </w:r>
      <w:r w:rsidRPr="00965520">
        <w:rPr>
          <w:rFonts w:ascii="Calibri Light" w:hAnsi="Calibri Light" w:cs="Calibri Light"/>
          <w:noProof/>
          <w:color w:val="000000"/>
          <w:sz w:val="22"/>
          <w:szCs w:val="22"/>
        </w:rPr>
        <w:t>hildren aged &lt;5 years of age a weight-for-age z-score</w:t>
      </w:r>
      <w:r>
        <w:rPr>
          <w:rFonts w:ascii="Calibri Light" w:hAnsi="Calibri Light" w:cs="Calibri Light"/>
          <w:noProof/>
          <w:color w:val="000000"/>
          <w:sz w:val="22"/>
          <w:szCs w:val="22"/>
        </w:rPr>
        <w:t xml:space="preserve"> will be calculated</w:t>
      </w:r>
      <w:r w:rsidRPr="00965520">
        <w:rPr>
          <w:rFonts w:ascii="Calibri Light" w:hAnsi="Calibri Light" w:cs="Calibri Light"/>
          <w:noProof/>
          <w:color w:val="000000"/>
          <w:sz w:val="22"/>
          <w:szCs w:val="22"/>
        </w:rPr>
        <w:t xml:space="preserve"> using the igrowup package developed by WHO</w:t>
      </w:r>
      <w:r w:rsidRPr="00965520">
        <w:rPr>
          <w:rFonts w:ascii="Calibri Light" w:hAnsi="Calibri Light" w:cs="Calibri Light"/>
          <w:noProof/>
          <w:color w:val="000000"/>
          <w:sz w:val="22"/>
          <w:szCs w:val="22"/>
        </w:rPr>
        <w:fldChar w:fldCharType="begin" w:fldLock="1"/>
      </w:r>
      <w:r w:rsidR="00181283">
        <w:rPr>
          <w:rFonts w:ascii="Calibri Light" w:hAnsi="Calibri Light" w:cs="Calibri Light"/>
          <w:noProof/>
          <w:color w:val="000000"/>
          <w:sz w:val="22"/>
          <w:szCs w:val="22"/>
        </w:rPr>
        <w:instrText>ADDIN CSL_CITATION {"citationItems":[{"id":"ITEM-1","itemData":{"DOI":"10.4067/S0370-41062009000400012","ISBN":"9789241547185","ISSN":"1428-345X","PMID":"20919458","abstract":"The origin of the WHO Child Growth Standards dates back to the early 1990s and a meticulous evaluation of the NCHS growth reference, which had been recommended for international use since the late 1970s. The review documented the deficiencies of the reference and led to a plan for developing new growth charts that would depict how children should grow in all countries rather than merely describing how they grew at a particular time and place. The outcome of this plan was the WHO Multicentre Growth Reference Study (1997-2003), which applied rigorous methods of data collection and serves as a model of collaboration for conducting international research. The study provides a solid foundation for developing a standard because the sample is based on healthy children living under conditions likely to favor achievement of their full genetic growth potential. Furthermore, the mothers of the children selected for the construction of the standards engaged in fundamental health-promoting practices, namely breastfeeding and not smoking. Other important features of the study are that it included children from a diverse set of countries (Brazil, Ghana, India, Norway, Oman and USA) and explicitly identified breastfeeding as the biological norm and established the breastfed child as the normative model for growth and development. By replacing the NCHS reference, which is based on children from a single country, with one based on an international group of children, the new standards recognize that children the world over grow similarly when their health and care needs are met. The WHO Child Growth Standards provide a technically robust tool for assessing the well-being of infants and young children. The standards depict normal growth under optimal environmental conditions and can be used to assess children everywhere, regardless of ethnicity, socioeconomic status and type of feeding.","author":[{"dropping-particle":"","family":"Who","given":"","non-dropping-particle":"","parse-names":false,"suffix":""}],"container-title":"World Health Organization","id":"ITEM-1","issued":{"date-parts":[["2006"]]},"title":"Child Growth Standards (2006) Methods and development: Length/height-for-age, weight-for-age, weight-for-length, weight-for-height and body mass index-for-age","type":"article-journal"},"uris":["http://www.mendeley.com/documents/?uuid=3436b112-b09e-45ce-8894-2c10b7888868"]}],"mendeley":{"formattedCitation":"(8)","plainTextFormattedCitation":"(8)","previouslyFormattedCitation":"(34)"},"properties":{"noteIndex":0},"schema":"https://github.com/citation-style-language/schema/raw/master/csl-citation.json"}</w:instrText>
      </w:r>
      <w:r w:rsidRPr="00965520">
        <w:rPr>
          <w:rFonts w:ascii="Calibri Light" w:hAnsi="Calibri Light" w:cs="Calibri Light"/>
          <w:noProof/>
          <w:color w:val="000000"/>
          <w:sz w:val="22"/>
          <w:szCs w:val="22"/>
        </w:rPr>
        <w:fldChar w:fldCharType="separate"/>
      </w:r>
      <w:r w:rsidR="00181283" w:rsidRPr="00181283">
        <w:rPr>
          <w:rFonts w:ascii="Calibri Light" w:hAnsi="Calibri Light" w:cs="Calibri Light"/>
          <w:noProof/>
          <w:color w:val="000000"/>
          <w:sz w:val="22"/>
          <w:szCs w:val="22"/>
        </w:rPr>
        <w:t>(8)</w:t>
      </w:r>
      <w:r w:rsidRPr="00965520">
        <w:rPr>
          <w:rFonts w:ascii="Calibri Light" w:hAnsi="Calibri Light" w:cs="Calibri Light"/>
          <w:noProof/>
          <w:color w:val="000000"/>
          <w:sz w:val="22"/>
          <w:szCs w:val="22"/>
        </w:rPr>
        <w:fldChar w:fldCharType="end"/>
      </w:r>
      <w:r w:rsidRPr="00965520">
        <w:rPr>
          <w:rFonts w:ascii="Calibri Light" w:hAnsi="Calibri Light" w:cs="Calibri Light"/>
          <w:noProof/>
          <w:color w:val="000000"/>
          <w:sz w:val="22"/>
          <w:szCs w:val="22"/>
        </w:rPr>
        <w:t>. Those with weight-for-age z-scores &lt; -2 (i.e. below the 3</w:t>
      </w:r>
      <w:r w:rsidRPr="00965520">
        <w:rPr>
          <w:rFonts w:ascii="Calibri Light" w:hAnsi="Calibri Light" w:cs="Calibri Light"/>
          <w:noProof/>
          <w:color w:val="000000"/>
          <w:sz w:val="22"/>
          <w:szCs w:val="22"/>
          <w:vertAlign w:val="superscript"/>
        </w:rPr>
        <w:t>rd</w:t>
      </w:r>
      <w:r w:rsidRPr="00965520">
        <w:rPr>
          <w:rFonts w:ascii="Calibri Light" w:hAnsi="Calibri Light" w:cs="Calibri Light"/>
          <w:noProof/>
          <w:color w:val="000000"/>
          <w:sz w:val="22"/>
          <w:szCs w:val="22"/>
        </w:rPr>
        <w:t xml:space="preserve"> centile) will be classified as underweight-for-age (termed underweight). </w:t>
      </w:r>
      <w:r w:rsidRPr="00965520">
        <w:rPr>
          <w:rFonts w:ascii="Calibri Light" w:hAnsi="Calibri Light" w:cs="Calibri Light"/>
          <w:color w:val="000000"/>
          <w:sz w:val="22"/>
          <w:szCs w:val="22"/>
        </w:rPr>
        <w:t>Weight-for-age Z scores will be set to missing if the score is less than -6 or greater than 6.</w:t>
      </w:r>
    </w:p>
    <w:p w14:paraId="6167F3B1" w14:textId="77777777" w:rsidR="00A00BED" w:rsidRPr="00965520" w:rsidRDefault="00A00BED" w:rsidP="00A00BED">
      <w:pPr>
        <w:spacing w:before="100" w:beforeAutospacing="1" w:after="100" w:afterAutospacing="1" w:line="360" w:lineRule="auto"/>
        <w:jc w:val="both"/>
        <w:rPr>
          <w:rFonts w:ascii="Calibri Light" w:hAnsi="Calibri Light" w:cs="Calibri Light"/>
          <w:sz w:val="22"/>
          <w:szCs w:val="22"/>
        </w:rPr>
      </w:pPr>
      <w:r w:rsidRPr="00965520">
        <w:rPr>
          <w:rFonts w:ascii="Calibri Light" w:hAnsi="Calibri Light" w:cs="Calibri Light"/>
          <w:i/>
          <w:sz w:val="22"/>
          <w:szCs w:val="22"/>
        </w:rPr>
        <w:t xml:space="preserve">Drug mg/kg dose - </w:t>
      </w:r>
      <w:r w:rsidRPr="00965520">
        <w:rPr>
          <w:rFonts w:ascii="Calibri Light" w:hAnsi="Calibri Light" w:cs="Calibri Light"/>
          <w:sz w:val="22"/>
          <w:szCs w:val="22"/>
        </w:rPr>
        <w:t>The doses of treatment received, i.e. primaquine, chloroquine, ACT will be calculated from the number of daily tablets administered to each patient. If the daily tablet counts are not available, doses will then be back calculated using the dosing scheme available from study protocols. For each component, a total dose per weight will be calculated for each patient.</w:t>
      </w:r>
    </w:p>
    <w:p w14:paraId="6BFCBA3F" w14:textId="15BED84A" w:rsidR="00A00BED" w:rsidRPr="00965520" w:rsidRDefault="00A00BED" w:rsidP="00A00BED">
      <w:pPr>
        <w:autoSpaceDE w:val="0"/>
        <w:autoSpaceDN w:val="0"/>
        <w:adjustRightInd w:val="0"/>
        <w:spacing w:before="100" w:beforeAutospacing="1" w:after="100" w:afterAutospacing="1" w:line="360" w:lineRule="auto"/>
        <w:jc w:val="both"/>
        <w:rPr>
          <w:rFonts w:ascii="Calibri Light" w:eastAsia="Calibri" w:hAnsi="Calibri Light" w:cs="Calibri Light"/>
          <w:noProof/>
          <w:color w:val="000000"/>
          <w:sz w:val="22"/>
          <w:szCs w:val="22"/>
        </w:rPr>
      </w:pPr>
      <w:r w:rsidRPr="00965520">
        <w:rPr>
          <w:rFonts w:ascii="Calibri Light" w:eastAsia="Calibri" w:hAnsi="Calibri Light" w:cs="Calibri Light"/>
          <w:i/>
          <w:noProof/>
          <w:color w:val="000000"/>
          <w:sz w:val="22"/>
          <w:szCs w:val="22"/>
        </w:rPr>
        <w:t xml:space="preserve">Haemoglobin - </w:t>
      </w:r>
      <w:r w:rsidRPr="00965520">
        <w:rPr>
          <w:rFonts w:ascii="Calibri Light" w:eastAsia="Calibri" w:hAnsi="Calibri Light" w:cs="Calibri Light"/>
          <w:noProof/>
          <w:color w:val="000000"/>
          <w:sz w:val="22"/>
          <w:szCs w:val="22"/>
        </w:rPr>
        <w:t>In studies with haematocrit measured instead of haemoglobin, haematocrit will be converted to haemoglobin using the following relationship</w:t>
      </w:r>
      <w:r w:rsidRPr="00965520">
        <w:rPr>
          <w:rFonts w:ascii="Calibri Light" w:eastAsia="Calibri" w:hAnsi="Calibri Light" w:cs="Calibri Light"/>
          <w:noProof/>
          <w:color w:val="000000"/>
          <w:sz w:val="22"/>
          <w:szCs w:val="22"/>
        </w:rPr>
        <w:fldChar w:fldCharType="begin" w:fldLock="1"/>
      </w:r>
      <w:r w:rsidR="00181283">
        <w:rPr>
          <w:rFonts w:ascii="Calibri Light" w:eastAsia="Calibri" w:hAnsi="Calibri Light" w:cs="Calibri Light"/>
          <w:noProof/>
          <w:color w:val="000000"/>
          <w:sz w:val="22"/>
          <w:szCs w:val="22"/>
        </w:rPr>
        <w:instrText>ADDIN CSL_CITATION {"citationItems":[{"id":"ITEM-1","itemData":{"DOI":"10.1186/1475-2875-7-149","ISSN":"14752875","abstract":"BACKGROUND: Malaria is a very important cause of anaemia in tropical countries. Anaemia is assessed either by measurement of the haematocrit or the haemoglobin concentration. For comparisons across studies, it is often necessary to derive one measure from the other.\\n\\nMETHODS: Data on patients with slide-confirmed uncomplicated falciparum malaria were pooled from 85 antimalarial drug trials conducted in 25 different countries, to assess the haemoglobin/haematocrit relationship at different time points in malaria. Using a linear random effects model, a conversion equation for haematocrit was derived based on 3,254 measurements from various time points (ranging from day 0 to day 63) from 1,810 patients with simultaneous measurements of both parameters. Haemoglobin was also estimated from haematocrit with the commonly used threefold conversion.\\n\\nRESULTS: A good fit was obtained using Haematocrit = 5.62 + 2.60 * Haemoglobin. On average, haematocrit/3 levels were slightly higher than haemoglobin measurements with a mean difference (+/- SD) of -0.69 (+/- 1.3) for children under the age of 5 (n = 1,440 measurements from 449 patients).\\n\\nCONCLUSION: Based on this large data set, an accurate and robust conversion factor both in acute malaria and in convalescence was obtained. The commonly used threefold conversion is also valid.","author":[{"dropping-particle":"","family":"Lee","given":"Sue J.","non-dropping-particle":"","parse-names":false,"suffix":""},{"dropping-particle":"","family":"Stepniewska","given":"Kasia","non-dropping-particle":"","parse-names":false,"suffix":""},{"dropping-particle":"","family":"Anstey","given":"Nicholas","non-dropping-particle":"","parse-names":false,"suffix":""},{"dropping-particle":"","family":"Ashley","given":"Elizabeth","non-dropping-particle":"","parse-names":false,"suffix":""},{"dropping-particle":"","family":"Barnes","given":"Karen","non-dropping-particle":"","parse-names":false,"suffix":""},{"dropping-particle":"","family":"Binh","given":"Tran Quang","non-dropping-particle":"","parse-names":false,"suffix":""},{"dropping-particle":"","family":"D'Alessandro","given":"Umberto","non-dropping-particle":"","parse-names":false,"suffix":""},{"dropping-particle":"","family":"Day","given":"Nicholas P.J.","non-dropping-particle":"","parse-names":false,"suffix":""},{"dropping-particle":"","family":"Vries","given":"Peter J.","non-dropping-particle":"De","parse-names":false,"suffix":""},{"dropping-particle":"","family":"Dorsey","given":"Grant","non-dropping-particle":"","parse-names":false,"suffix":""},{"dropping-particle":"","family":"Guthmann","given":"Jean Paul","non-dropping-particle":"","parse-names":false,"suffix":""},{"dropping-particle":"","family":"Mayxay","given":"Mayfong","non-dropping-particle":"","parse-names":false,"suffix":""},{"dropping-particle":"","family":"Newton","given":"Paul","non-dropping-particle":"","parse-names":false,"suffix":""},{"dropping-particle":"","family":"Nosten","given":"Francois","non-dropping-particle":"","parse-names":false,"suffix":""},{"dropping-particle":"","family":"Olliaro","given":"Piero","non-dropping-particle":"","parse-names":false,"suffix":""},{"dropping-particle":"","family":"Osario","given":"Lyda","non-dropping-particle":"","parse-names":false,"suffix":""},{"dropping-particle":"","family":"Pinoges","given":"Loretxu","non-dropping-particle":"","parse-names":false,"suffix":""},{"dropping-particle":"","family":"Price","given":"Ric","non-dropping-particle":"","parse-names":false,"suffix":""},{"dropping-particle":"","family":"Rowland","given":"Mark","non-dropping-particle":"","parse-names":false,"suffix":""},{"dropping-particle":"","family":"Smithuis","given":"Frank","non-dropping-particle":"","parse-names":false,"suffix":""},{"dropping-particle":"","family":"Taylor","given":"Robert","non-dropping-particle":"","parse-names":false,"suffix":""},{"dropping-particle":"","family":"White","given":"Nicholas J.","non-dropping-particle":"","parse-names":false,"suffix":""}],"container-title":"Malaria Journal","id":"ITEM-1","issued":{"date-parts":[["2008"]]},"title":"The relationship between the haemoglobin concentration and the haematocrit in Plasmodium falciparum malaria","type":"article-journal"},"uris":["http://www.mendeley.com/documents/?uuid=22d32d4a-fea4-429e-afd6-7ce66d8701e0"]}],"mendeley":{"formattedCitation":"(9)","plainTextFormattedCitation":"(9)","previouslyFormattedCitation":"(35)"},"properties":{"noteIndex":0},"schema":"https://github.com/citation-style-language/schema/raw/master/csl-citation.json"}</w:instrText>
      </w:r>
      <w:r w:rsidRPr="00965520">
        <w:rPr>
          <w:rFonts w:ascii="Calibri Light" w:eastAsia="Calibri" w:hAnsi="Calibri Light" w:cs="Calibri Light"/>
          <w:noProof/>
          <w:color w:val="000000"/>
          <w:sz w:val="22"/>
          <w:szCs w:val="22"/>
        </w:rPr>
        <w:fldChar w:fldCharType="separate"/>
      </w:r>
      <w:r w:rsidR="00181283" w:rsidRPr="00181283">
        <w:rPr>
          <w:rFonts w:ascii="Calibri Light" w:eastAsia="Calibri" w:hAnsi="Calibri Light" w:cs="Calibri Light"/>
          <w:noProof/>
          <w:color w:val="000000"/>
          <w:sz w:val="22"/>
          <w:szCs w:val="22"/>
        </w:rPr>
        <w:t>(9)</w:t>
      </w:r>
      <w:r w:rsidRPr="00965520">
        <w:rPr>
          <w:rFonts w:ascii="Calibri Light" w:eastAsia="Calibri" w:hAnsi="Calibri Light" w:cs="Calibri Light"/>
          <w:noProof/>
          <w:color w:val="000000"/>
          <w:sz w:val="22"/>
          <w:szCs w:val="22"/>
        </w:rPr>
        <w:fldChar w:fldCharType="end"/>
      </w:r>
      <w:r w:rsidRPr="00965520">
        <w:rPr>
          <w:rFonts w:ascii="Calibri Light" w:eastAsia="Calibri" w:hAnsi="Calibri Light" w:cs="Calibri Light"/>
          <w:noProof/>
          <w:color w:val="000000"/>
          <w:sz w:val="22"/>
          <w:szCs w:val="22"/>
        </w:rPr>
        <w:t>:</w:t>
      </w:r>
    </w:p>
    <w:p w14:paraId="5981E0C5" w14:textId="77777777" w:rsidR="00A00BED" w:rsidRPr="00965520" w:rsidRDefault="00A00BED" w:rsidP="00A00BED">
      <w:pPr>
        <w:spacing w:before="100" w:beforeAutospacing="1" w:after="100" w:afterAutospacing="1" w:line="360" w:lineRule="auto"/>
        <w:ind w:left="720"/>
        <w:jc w:val="both"/>
        <w:rPr>
          <w:rFonts w:ascii="Calibri Light" w:hAnsi="Calibri Light" w:cs="Calibri Light"/>
          <w:color w:val="000000"/>
          <w:sz w:val="22"/>
          <w:szCs w:val="22"/>
        </w:rPr>
      </w:pPr>
      <w:r w:rsidRPr="00965520">
        <w:rPr>
          <w:rFonts w:ascii="Calibri Light" w:hAnsi="Calibri Light" w:cs="Calibri Light"/>
          <w:color w:val="000000"/>
          <w:sz w:val="22"/>
          <w:szCs w:val="22"/>
        </w:rPr>
        <w:t>Haematocrit (</w:t>
      </w:r>
      <w:proofErr w:type="spellStart"/>
      <w:r w:rsidRPr="00965520">
        <w:rPr>
          <w:rFonts w:ascii="Calibri Light" w:hAnsi="Calibri Light" w:cs="Calibri Light"/>
          <w:color w:val="000000"/>
          <w:sz w:val="22"/>
          <w:szCs w:val="22"/>
        </w:rPr>
        <w:t>ht</w:t>
      </w:r>
      <w:proofErr w:type="spellEnd"/>
      <w:r w:rsidRPr="00965520">
        <w:rPr>
          <w:rFonts w:ascii="Calibri Light" w:hAnsi="Calibri Light" w:cs="Calibri Light"/>
          <w:color w:val="000000"/>
          <w:sz w:val="22"/>
          <w:szCs w:val="22"/>
        </w:rPr>
        <w:t xml:space="preserve">) = 5.62 + 2.60 * Haemoglobin </w:t>
      </w:r>
    </w:p>
    <w:p w14:paraId="6698D655" w14:textId="68979B1D" w:rsidR="00A00BED" w:rsidRPr="00965520" w:rsidRDefault="00A00BED" w:rsidP="00A00BED">
      <w:pPr>
        <w:widowControl w:val="0"/>
        <w:tabs>
          <w:tab w:val="left" w:pos="220"/>
          <w:tab w:val="left" w:pos="720"/>
        </w:tabs>
        <w:autoSpaceDE w:val="0"/>
        <w:autoSpaceDN w:val="0"/>
        <w:adjustRightInd w:val="0"/>
        <w:spacing w:before="100" w:beforeAutospacing="1" w:after="100" w:afterAutospacing="1" w:line="360" w:lineRule="auto"/>
        <w:rPr>
          <w:rFonts w:ascii="Calibri Light" w:hAnsi="Calibri Light" w:cs="Calibri Light"/>
          <w:color w:val="000000"/>
          <w:sz w:val="22"/>
          <w:szCs w:val="22"/>
        </w:rPr>
      </w:pPr>
      <w:proofErr w:type="spellStart"/>
      <w:r w:rsidRPr="00965520">
        <w:rPr>
          <w:rFonts w:ascii="Calibri Light" w:hAnsi="Calibri Light" w:cs="Calibri Light"/>
          <w:i/>
          <w:iCs/>
          <w:color w:val="000000"/>
          <w:sz w:val="22"/>
          <w:szCs w:val="22"/>
        </w:rPr>
        <w:t>Schizontocidal</w:t>
      </w:r>
      <w:proofErr w:type="spellEnd"/>
      <w:r w:rsidRPr="00965520">
        <w:rPr>
          <w:rFonts w:ascii="Calibri Light" w:hAnsi="Calibri Light" w:cs="Calibri Light"/>
          <w:i/>
          <w:iCs/>
          <w:color w:val="000000"/>
          <w:sz w:val="22"/>
          <w:szCs w:val="22"/>
        </w:rPr>
        <w:t xml:space="preserve"> treatments</w:t>
      </w:r>
      <w:r w:rsidRPr="00965520">
        <w:rPr>
          <w:rFonts w:ascii="Calibri Light" w:hAnsi="Calibri Light" w:cs="Calibri Light"/>
          <w:color w:val="000000"/>
          <w:sz w:val="22"/>
          <w:szCs w:val="22"/>
        </w:rPr>
        <w:t xml:space="preserve"> – includes Artemisinin-based Combination Therapy (ACTs) and chloroquine, according to WHO guideline</w:t>
      </w:r>
      <w:r w:rsidRPr="00965520">
        <w:rPr>
          <w:rFonts w:ascii="Calibri Light" w:hAnsi="Calibri Light" w:cs="Calibri Light"/>
          <w:color w:val="000000"/>
          <w:sz w:val="22"/>
          <w:szCs w:val="22"/>
        </w:rPr>
        <w:fldChar w:fldCharType="begin" w:fldLock="1"/>
      </w:r>
      <w:r w:rsidR="00181283">
        <w:rPr>
          <w:rFonts w:ascii="Calibri Light" w:hAnsi="Calibri Light" w:cs="Calibri Light"/>
          <w:color w:val="000000"/>
          <w:sz w:val="22"/>
          <w:szCs w:val="22"/>
        </w:rPr>
        <w:instrText>ADDIN CSL_CITATION {"citationItems":[{"id":"ITEM-1","itemData":{"DOI":"10.1016/0035-9203(91)90261-V","ISBN":"9789241549127","ISSN":"00359203","PMID":"1755076","abstract":"Malaria case management, which consists of prompt diagnosis and effective treatment, remains a vital component of malaria control and elimination strategies. This third edition of the WHO Guidelines for the treatment of malaria contains updated recommendations based on new evidence as well as a recommendation on the use of drugs to prevent malaria in high-risk groups. The core principles underpinning this edition include: early diagnosis and prompt, effective treatment; rational use of antimalarial treatment to ensure that only confirmed malaria cases receive antimalarials; the use of combination therapy in preventing or delaying development of resistance; and appropriate weight-based dosing of antimalarials to ensure prolonged useful therapeutic life and an equal chance of being cured for all patients. The Guidelines include recommendations on the diagnosis and treatment of uncomplicated and severe malaria by all species, including in special at-risk populations (such as young children, pregnant women, TB or HIV/AIDS patients and non-immune travellers) and situations (such as epidemics and humanitarian emergencies), and on the use of drugs to prevent malaria in groups at high risk. They aim: to assist policy-makers to design and refine effective national treatment policies on the basis of the best available evidence; to help hospital and clinical care providers to design and refine effective treatment protocols on the basis of the best available evidence; to promote the use of safe, effective malaria treatment; and to protect currently effective malaria treatment against the development of resistance. The recommendations in the main document are brief. For those who wish to study the evidence base in more detail, a series of annexes are provided with references to the appropriate sections of the main document.","author":[{"dropping-particle":"","family":"World Health Organization","given":"","non-dropping-particle":"","parse-names":false,"suffix":""}],"container-title":"www.who.int/malaria","id":"ITEM-1","issued":{"date-parts":[["2015"]]},"title":"Guidelines For The Treatment of Malaria - 3rd edition","type":"article-journal"},"uris":["http://www.mendeley.com/documents/?uuid=4533357a-6ceb-464b-9931-8aa56071b86d"]}],"mendeley":{"formattedCitation":"(10)","plainTextFormattedCitation":"(10)","previouslyFormattedCitation":"(12)"},"properties":{"noteIndex":0},"schema":"https://github.com/citation-style-language/schema/raw/master/csl-citation.json"}</w:instrText>
      </w:r>
      <w:r w:rsidRPr="00965520">
        <w:rPr>
          <w:rFonts w:ascii="Calibri Light" w:hAnsi="Calibri Light" w:cs="Calibri Light"/>
          <w:color w:val="000000"/>
          <w:sz w:val="22"/>
          <w:szCs w:val="22"/>
        </w:rPr>
        <w:fldChar w:fldCharType="separate"/>
      </w:r>
      <w:r w:rsidR="00181283" w:rsidRPr="00181283">
        <w:rPr>
          <w:rFonts w:ascii="Calibri Light" w:hAnsi="Calibri Light" w:cs="Calibri Light"/>
          <w:noProof/>
          <w:color w:val="000000"/>
          <w:sz w:val="22"/>
          <w:szCs w:val="22"/>
        </w:rPr>
        <w:t>(10)</w:t>
      </w:r>
      <w:r w:rsidRPr="00965520">
        <w:rPr>
          <w:rFonts w:ascii="Calibri Light" w:hAnsi="Calibri Light" w:cs="Calibri Light"/>
          <w:color w:val="000000"/>
          <w:sz w:val="22"/>
          <w:szCs w:val="22"/>
        </w:rPr>
        <w:fldChar w:fldCharType="end"/>
      </w:r>
      <w:r w:rsidRPr="00965520">
        <w:rPr>
          <w:rFonts w:ascii="Calibri Light" w:hAnsi="Calibri Light" w:cs="Calibri Light"/>
          <w:color w:val="000000"/>
          <w:sz w:val="22"/>
          <w:szCs w:val="22"/>
        </w:rPr>
        <w:t xml:space="preserve">: </w:t>
      </w:r>
    </w:p>
    <w:p w14:paraId="106362E2" w14:textId="77777777" w:rsidR="00A00BED" w:rsidRPr="00965520" w:rsidRDefault="00A00BED" w:rsidP="00A00BED">
      <w:pPr>
        <w:widowControl w:val="0"/>
        <w:numPr>
          <w:ilvl w:val="0"/>
          <w:numId w:val="27"/>
        </w:numPr>
        <w:tabs>
          <w:tab w:val="left" w:pos="220"/>
          <w:tab w:val="left" w:pos="720"/>
        </w:tabs>
        <w:autoSpaceDE w:val="0"/>
        <w:autoSpaceDN w:val="0"/>
        <w:adjustRightInd w:val="0"/>
        <w:spacing w:before="100" w:beforeAutospacing="1" w:after="100" w:afterAutospacing="1" w:line="360" w:lineRule="auto"/>
        <w:contextualSpacing/>
        <w:rPr>
          <w:rFonts w:ascii="Calibri Light" w:eastAsia="Calibri" w:hAnsi="Calibri Light"/>
          <w:color w:val="000000"/>
          <w:sz w:val="22"/>
          <w:szCs w:val="22"/>
        </w:rPr>
      </w:pPr>
      <w:proofErr w:type="spellStart"/>
      <w:r w:rsidRPr="00965520">
        <w:rPr>
          <w:rFonts w:ascii="Calibri Light" w:eastAsia="Calibri" w:hAnsi="Calibri Light"/>
          <w:color w:val="000000"/>
          <w:sz w:val="22"/>
          <w:szCs w:val="22"/>
        </w:rPr>
        <w:t>Artemether+Lumefantrine</w:t>
      </w:r>
      <w:proofErr w:type="spellEnd"/>
    </w:p>
    <w:p w14:paraId="4FD53013" w14:textId="77777777" w:rsidR="00A00BED" w:rsidRPr="00965520" w:rsidRDefault="00A00BED" w:rsidP="00A00BED">
      <w:pPr>
        <w:widowControl w:val="0"/>
        <w:numPr>
          <w:ilvl w:val="0"/>
          <w:numId w:val="27"/>
        </w:numPr>
        <w:tabs>
          <w:tab w:val="left" w:pos="220"/>
          <w:tab w:val="left" w:pos="720"/>
        </w:tabs>
        <w:autoSpaceDE w:val="0"/>
        <w:autoSpaceDN w:val="0"/>
        <w:adjustRightInd w:val="0"/>
        <w:spacing w:before="100" w:beforeAutospacing="1" w:after="100" w:afterAutospacing="1" w:line="360" w:lineRule="auto"/>
        <w:contextualSpacing/>
        <w:rPr>
          <w:rFonts w:ascii="Calibri Light" w:eastAsia="Calibri" w:hAnsi="Calibri Light"/>
          <w:color w:val="000000"/>
          <w:sz w:val="22"/>
          <w:szCs w:val="22"/>
        </w:rPr>
      </w:pPr>
      <w:proofErr w:type="spellStart"/>
      <w:r w:rsidRPr="00965520">
        <w:rPr>
          <w:rFonts w:ascii="Calibri Light" w:eastAsia="Calibri" w:hAnsi="Calibri Light"/>
          <w:color w:val="000000"/>
          <w:sz w:val="22"/>
          <w:szCs w:val="22"/>
        </w:rPr>
        <w:t>Artesunate+Amodiaquine</w:t>
      </w:r>
      <w:proofErr w:type="spellEnd"/>
    </w:p>
    <w:p w14:paraId="40A216AE" w14:textId="77777777" w:rsidR="00A00BED" w:rsidRPr="00965520" w:rsidRDefault="00A00BED" w:rsidP="00A00BED">
      <w:pPr>
        <w:widowControl w:val="0"/>
        <w:numPr>
          <w:ilvl w:val="0"/>
          <w:numId w:val="27"/>
        </w:numPr>
        <w:tabs>
          <w:tab w:val="left" w:pos="220"/>
          <w:tab w:val="left" w:pos="720"/>
        </w:tabs>
        <w:autoSpaceDE w:val="0"/>
        <w:autoSpaceDN w:val="0"/>
        <w:adjustRightInd w:val="0"/>
        <w:spacing w:before="100" w:beforeAutospacing="1" w:after="100" w:afterAutospacing="1" w:line="360" w:lineRule="auto"/>
        <w:contextualSpacing/>
        <w:rPr>
          <w:rFonts w:ascii="Calibri Light" w:eastAsia="Calibri" w:hAnsi="Calibri Light"/>
          <w:color w:val="000000"/>
          <w:sz w:val="22"/>
          <w:szCs w:val="22"/>
        </w:rPr>
      </w:pPr>
      <w:proofErr w:type="spellStart"/>
      <w:r w:rsidRPr="00965520">
        <w:rPr>
          <w:rFonts w:ascii="Calibri Light" w:eastAsia="Calibri" w:hAnsi="Calibri Light"/>
          <w:color w:val="000000"/>
          <w:sz w:val="22"/>
          <w:szCs w:val="22"/>
        </w:rPr>
        <w:t>Artesunate+Mefloquine</w:t>
      </w:r>
      <w:proofErr w:type="spellEnd"/>
    </w:p>
    <w:p w14:paraId="254CD985" w14:textId="77777777" w:rsidR="00A00BED" w:rsidRPr="00965520" w:rsidRDefault="00A00BED" w:rsidP="00A00BED">
      <w:pPr>
        <w:widowControl w:val="0"/>
        <w:numPr>
          <w:ilvl w:val="0"/>
          <w:numId w:val="27"/>
        </w:numPr>
        <w:tabs>
          <w:tab w:val="left" w:pos="220"/>
          <w:tab w:val="left" w:pos="720"/>
        </w:tabs>
        <w:autoSpaceDE w:val="0"/>
        <w:autoSpaceDN w:val="0"/>
        <w:adjustRightInd w:val="0"/>
        <w:spacing w:before="100" w:beforeAutospacing="1" w:after="100" w:afterAutospacing="1" w:line="360" w:lineRule="auto"/>
        <w:contextualSpacing/>
        <w:rPr>
          <w:rFonts w:ascii="Calibri Light" w:eastAsia="Calibri" w:hAnsi="Calibri Light"/>
          <w:color w:val="000000"/>
          <w:sz w:val="22"/>
          <w:szCs w:val="22"/>
        </w:rPr>
      </w:pPr>
      <w:proofErr w:type="spellStart"/>
      <w:r w:rsidRPr="00965520">
        <w:rPr>
          <w:rFonts w:ascii="Calibri Light" w:eastAsia="Calibri" w:hAnsi="Calibri Light"/>
          <w:color w:val="000000"/>
          <w:sz w:val="22"/>
          <w:szCs w:val="22"/>
        </w:rPr>
        <w:t>Dihydroartemisinin+Piperaquine</w:t>
      </w:r>
      <w:proofErr w:type="spellEnd"/>
    </w:p>
    <w:p w14:paraId="104181A9" w14:textId="77777777" w:rsidR="00A00BED" w:rsidRDefault="00A00BED" w:rsidP="00A00BED">
      <w:pPr>
        <w:widowControl w:val="0"/>
        <w:numPr>
          <w:ilvl w:val="0"/>
          <w:numId w:val="27"/>
        </w:numPr>
        <w:tabs>
          <w:tab w:val="left" w:pos="220"/>
          <w:tab w:val="left" w:pos="720"/>
        </w:tabs>
        <w:autoSpaceDE w:val="0"/>
        <w:autoSpaceDN w:val="0"/>
        <w:adjustRightInd w:val="0"/>
        <w:spacing w:before="100" w:beforeAutospacing="1" w:after="100" w:afterAutospacing="1" w:line="360" w:lineRule="auto"/>
        <w:contextualSpacing/>
        <w:rPr>
          <w:rFonts w:ascii="Calibri Light" w:eastAsia="Calibri" w:hAnsi="Calibri Light"/>
          <w:color w:val="000000"/>
          <w:sz w:val="22"/>
          <w:szCs w:val="22"/>
        </w:rPr>
      </w:pPr>
      <w:proofErr w:type="spellStart"/>
      <w:r w:rsidRPr="00965520">
        <w:rPr>
          <w:rFonts w:ascii="Calibri Light" w:eastAsia="Calibri" w:hAnsi="Calibri Light"/>
          <w:color w:val="000000"/>
          <w:sz w:val="22"/>
          <w:szCs w:val="22"/>
        </w:rPr>
        <w:t>Artesunate+Sulfadoxine-pyrimethamine</w:t>
      </w:r>
      <w:proofErr w:type="spellEnd"/>
      <w:r w:rsidRPr="00965520">
        <w:rPr>
          <w:rFonts w:ascii="Calibri Light" w:eastAsia="Calibri" w:hAnsi="Calibri Light"/>
          <w:color w:val="000000"/>
          <w:sz w:val="22"/>
          <w:szCs w:val="22"/>
        </w:rPr>
        <w:t xml:space="preserve"> (SP)</w:t>
      </w:r>
    </w:p>
    <w:p w14:paraId="3C17E8AB" w14:textId="77777777" w:rsidR="00A00BED" w:rsidRPr="00965520" w:rsidRDefault="00A00BED" w:rsidP="00A00BED">
      <w:pPr>
        <w:widowControl w:val="0"/>
        <w:tabs>
          <w:tab w:val="left" w:pos="220"/>
          <w:tab w:val="left" w:pos="720"/>
        </w:tabs>
        <w:autoSpaceDE w:val="0"/>
        <w:autoSpaceDN w:val="0"/>
        <w:adjustRightInd w:val="0"/>
        <w:spacing w:before="100" w:beforeAutospacing="1" w:after="100" w:afterAutospacing="1" w:line="360" w:lineRule="auto"/>
        <w:ind w:left="720"/>
        <w:contextualSpacing/>
        <w:rPr>
          <w:rFonts w:ascii="Calibri Light" w:eastAsia="Calibri" w:hAnsi="Calibri Light"/>
          <w:color w:val="000000"/>
          <w:sz w:val="22"/>
          <w:szCs w:val="22"/>
        </w:rPr>
      </w:pPr>
    </w:p>
    <w:p w14:paraId="7C45AB67" w14:textId="77777777" w:rsidR="00A00BED" w:rsidRPr="00965520" w:rsidRDefault="00A00BED" w:rsidP="00A00BED">
      <w:pPr>
        <w:keepNext/>
        <w:spacing w:before="100" w:beforeAutospacing="1" w:after="100" w:afterAutospacing="1" w:line="360" w:lineRule="auto"/>
        <w:outlineLvl w:val="1"/>
        <w:rPr>
          <w:rFonts w:ascii="Calibri Light" w:hAnsi="Calibri Light"/>
          <w:i/>
          <w:iCs/>
          <w:color w:val="2E74B5"/>
          <w:sz w:val="26"/>
          <w:lang w:eastAsia="en-AU"/>
        </w:rPr>
      </w:pPr>
      <w:bookmarkStart w:id="26" w:name="_Toc457660149"/>
      <w:r w:rsidRPr="00965520">
        <w:rPr>
          <w:rFonts w:ascii="Calibri Light" w:hAnsi="Calibri Light"/>
          <w:i/>
          <w:iCs/>
          <w:color w:val="2E74B5"/>
          <w:sz w:val="26"/>
          <w:lang w:eastAsia="en-AU"/>
        </w:rPr>
        <w:lastRenderedPageBreak/>
        <w:t>2.5. Summary of statistical analyses</w:t>
      </w:r>
      <w:bookmarkEnd w:id="26"/>
    </w:p>
    <w:p w14:paraId="17CD92F8" w14:textId="77777777" w:rsidR="00A00BED" w:rsidRPr="00965520" w:rsidRDefault="00A00BED" w:rsidP="00A00BED">
      <w:pPr>
        <w:spacing w:before="100" w:beforeAutospacing="1" w:after="100" w:afterAutospacing="1" w:line="360" w:lineRule="auto"/>
        <w:rPr>
          <w:rFonts w:ascii="Calibri" w:hAnsi="Calibri" w:cs="Calibri"/>
          <w:b/>
          <w:i/>
          <w:color w:val="000000"/>
        </w:rPr>
      </w:pPr>
      <w:r w:rsidRPr="00965520">
        <w:rPr>
          <w:rFonts w:ascii="Calibri" w:hAnsi="Calibri" w:cs="Calibri"/>
          <w:b/>
          <w:i/>
          <w:color w:val="000000"/>
        </w:rPr>
        <w:t>2.5.1 Description and baseline characteristics of the study sample:</w:t>
      </w:r>
    </w:p>
    <w:p w14:paraId="448BF402" w14:textId="77777777" w:rsidR="00A00BED" w:rsidRPr="00965520" w:rsidRDefault="00A00BED" w:rsidP="00A00BED">
      <w:pPr>
        <w:numPr>
          <w:ilvl w:val="1"/>
          <w:numId w:val="8"/>
        </w:numPr>
        <w:spacing w:before="100" w:beforeAutospacing="1" w:after="100" w:afterAutospacing="1" w:line="360" w:lineRule="auto"/>
        <w:ind w:left="709" w:hanging="425"/>
        <w:contextualSpacing/>
        <w:jc w:val="both"/>
        <w:rPr>
          <w:rFonts w:ascii="Calibri Light" w:eastAsia="Calibri" w:hAnsi="Calibri Light" w:cs="Calibri Light"/>
          <w:color w:val="000000"/>
          <w:sz w:val="22"/>
          <w:szCs w:val="22"/>
        </w:rPr>
      </w:pPr>
      <w:r w:rsidRPr="00965520">
        <w:rPr>
          <w:rFonts w:ascii="Calibri Light" w:eastAsia="Calibri" w:hAnsi="Calibri Light" w:cs="Calibri Light"/>
          <w:color w:val="000000"/>
          <w:sz w:val="22"/>
          <w:szCs w:val="22"/>
        </w:rPr>
        <w:t>A summary (study profile) of the relevant trials uploaded to the WWARN repository will be presented to highlight potential selection bias.</w:t>
      </w:r>
    </w:p>
    <w:p w14:paraId="481CC83E" w14:textId="77777777" w:rsidR="00A00BED" w:rsidRPr="00965520" w:rsidRDefault="00A00BED" w:rsidP="00A00BED">
      <w:pPr>
        <w:numPr>
          <w:ilvl w:val="1"/>
          <w:numId w:val="8"/>
        </w:numPr>
        <w:spacing w:before="100" w:beforeAutospacing="1" w:after="100" w:afterAutospacing="1" w:line="360" w:lineRule="auto"/>
        <w:ind w:left="709" w:hanging="425"/>
        <w:contextualSpacing/>
        <w:jc w:val="both"/>
        <w:rPr>
          <w:rFonts w:ascii="Calibri Light" w:eastAsia="Calibri" w:hAnsi="Calibri Light" w:cs="Calibri Light"/>
          <w:color w:val="000000"/>
          <w:sz w:val="22"/>
          <w:szCs w:val="22"/>
        </w:rPr>
      </w:pPr>
      <w:r>
        <w:rPr>
          <w:rFonts w:ascii="Calibri Light" w:eastAsia="Calibri" w:hAnsi="Calibri Light" w:cs="Calibri Light"/>
          <w:color w:val="000000"/>
          <w:sz w:val="22"/>
          <w:szCs w:val="22"/>
        </w:rPr>
        <w:t>Details</w:t>
      </w:r>
      <w:r w:rsidRPr="00965520">
        <w:rPr>
          <w:rFonts w:ascii="Calibri Light" w:eastAsia="Calibri" w:hAnsi="Calibri Light" w:cs="Calibri Light"/>
          <w:color w:val="000000"/>
          <w:sz w:val="22"/>
          <w:szCs w:val="22"/>
        </w:rPr>
        <w:t xml:space="preserve"> of the relevant </w:t>
      </w:r>
      <w:r>
        <w:rPr>
          <w:rFonts w:ascii="Calibri Light" w:eastAsia="Calibri" w:hAnsi="Calibri Light" w:cs="Calibri Light"/>
          <w:color w:val="000000"/>
          <w:sz w:val="22"/>
          <w:szCs w:val="22"/>
        </w:rPr>
        <w:t>trials</w:t>
      </w:r>
      <w:r w:rsidRPr="00965520">
        <w:rPr>
          <w:rFonts w:ascii="Calibri Light" w:eastAsia="Calibri" w:hAnsi="Calibri Light" w:cs="Calibri Light"/>
          <w:color w:val="000000"/>
          <w:sz w:val="22"/>
          <w:szCs w:val="22"/>
        </w:rPr>
        <w:t xml:space="preserve"> will be presented, including (but not restricted to) treatment </w:t>
      </w:r>
      <w:r>
        <w:rPr>
          <w:rFonts w:ascii="Calibri Light" w:eastAsia="Calibri" w:hAnsi="Calibri Light" w:cs="Calibri Light"/>
          <w:color w:val="000000"/>
          <w:sz w:val="22"/>
          <w:szCs w:val="22"/>
        </w:rPr>
        <w:t>administer</w:t>
      </w:r>
      <w:r w:rsidRPr="00965520">
        <w:rPr>
          <w:rFonts w:ascii="Calibri Light" w:eastAsia="Calibri" w:hAnsi="Calibri Light" w:cs="Calibri Light"/>
          <w:color w:val="000000"/>
          <w:sz w:val="22"/>
          <w:szCs w:val="22"/>
        </w:rPr>
        <w:t>ed, inclusion and exclusion criteria, follow up duration, study populations, parasitaemia sampling scheme and description of location by country, transmission site(s), regional relapse periodicity, chloroquine resistance, number of days of treatment supervised, and recording of dosing data. Tests of statistical significance will not be undertaken for baseline characteristics; instead, the clinical importance of any differences in the baseline distributions across study sites will be noted.</w:t>
      </w:r>
    </w:p>
    <w:p w14:paraId="133AD25C" w14:textId="77777777" w:rsidR="00A00BED" w:rsidRPr="00965520" w:rsidRDefault="00A00BED" w:rsidP="00A00BED">
      <w:pPr>
        <w:numPr>
          <w:ilvl w:val="2"/>
          <w:numId w:val="12"/>
        </w:numPr>
        <w:spacing w:before="100" w:beforeAutospacing="1" w:after="100" w:afterAutospacing="1" w:line="360" w:lineRule="auto"/>
        <w:contextualSpacing/>
        <w:rPr>
          <w:rFonts w:ascii="Calibri" w:eastAsia="Calibri" w:hAnsi="Calibri" w:cs="Calibri"/>
          <w:b/>
          <w:i/>
          <w:color w:val="000000"/>
          <w:sz w:val="22"/>
          <w:szCs w:val="22"/>
        </w:rPr>
      </w:pPr>
      <w:r w:rsidRPr="00965520">
        <w:rPr>
          <w:rFonts w:ascii="Calibri" w:eastAsia="Calibri" w:hAnsi="Calibri" w:cs="Calibri"/>
          <w:b/>
          <w:i/>
          <w:color w:val="000000"/>
          <w:sz w:val="22"/>
          <w:szCs w:val="22"/>
        </w:rPr>
        <w:t>Baseline characteristics of patients:</w:t>
      </w:r>
    </w:p>
    <w:p w14:paraId="52A4D31C" w14:textId="77777777" w:rsidR="00A00BED" w:rsidRPr="00965520" w:rsidRDefault="00A00BED" w:rsidP="00A00BED">
      <w:pPr>
        <w:numPr>
          <w:ilvl w:val="1"/>
          <w:numId w:val="8"/>
        </w:numPr>
        <w:spacing w:before="100" w:beforeAutospacing="1" w:after="100" w:afterAutospacing="1" w:line="360" w:lineRule="auto"/>
        <w:ind w:left="709" w:hanging="425"/>
        <w:contextualSpacing/>
        <w:jc w:val="both"/>
        <w:rPr>
          <w:rFonts w:ascii="Calibri Light" w:eastAsia="Calibri" w:hAnsi="Calibri Light" w:cs="Calibri Light"/>
          <w:color w:val="000000"/>
          <w:sz w:val="22"/>
          <w:szCs w:val="22"/>
        </w:rPr>
      </w:pPr>
      <w:r w:rsidRPr="00965520">
        <w:rPr>
          <w:rFonts w:ascii="Calibri Light" w:eastAsia="Calibri" w:hAnsi="Calibri Light" w:cs="Calibri Light"/>
          <w:color w:val="000000"/>
          <w:sz w:val="22"/>
          <w:szCs w:val="22"/>
        </w:rPr>
        <w:t>A summary of relevant baseline patient characteristics will be presented including age, gender, malnutrition, treatment given, treatment supervision, timing of primaquine, G6PD status, haemoglobin concentration, asexual parasitaemia, temperature &gt;37.5</w:t>
      </w:r>
      <w:r w:rsidRPr="00965520">
        <w:rPr>
          <w:rFonts w:ascii="Calibri Light" w:eastAsia="Calibri" w:hAnsi="Calibri Light" w:cs="Calibri Light"/>
          <w:color w:val="000000"/>
          <w:sz w:val="22"/>
          <w:szCs w:val="22"/>
        </w:rPr>
        <w:sym w:font="Symbol" w:char="F0B0"/>
      </w:r>
      <w:r w:rsidRPr="00965520">
        <w:rPr>
          <w:rFonts w:ascii="Calibri Light" w:eastAsia="Calibri" w:hAnsi="Calibri Light" w:cs="Calibri Light"/>
          <w:color w:val="000000"/>
          <w:sz w:val="22"/>
          <w:szCs w:val="22"/>
        </w:rPr>
        <w:t>C, prior antimalarial use, prior malaria history.</w:t>
      </w:r>
    </w:p>
    <w:p w14:paraId="1843C226" w14:textId="77777777" w:rsidR="00A00BED" w:rsidRPr="00965520" w:rsidRDefault="00A00BED" w:rsidP="00A00BED">
      <w:pPr>
        <w:numPr>
          <w:ilvl w:val="1"/>
          <w:numId w:val="8"/>
        </w:numPr>
        <w:spacing w:before="100" w:beforeAutospacing="1" w:after="100" w:afterAutospacing="1" w:line="360" w:lineRule="auto"/>
        <w:ind w:left="709" w:hanging="425"/>
        <w:contextualSpacing/>
        <w:jc w:val="both"/>
        <w:rPr>
          <w:rFonts w:ascii="Calibri Light" w:eastAsia="Calibri" w:hAnsi="Calibri Light" w:cs="Calibri Light"/>
          <w:color w:val="000000"/>
          <w:sz w:val="22"/>
          <w:szCs w:val="22"/>
        </w:rPr>
      </w:pPr>
      <w:r w:rsidRPr="00965520">
        <w:rPr>
          <w:rFonts w:ascii="Calibri Light" w:eastAsia="Calibri" w:hAnsi="Calibri Light" w:cs="Calibri Light"/>
          <w:color w:val="000000"/>
          <w:sz w:val="22"/>
          <w:szCs w:val="22"/>
        </w:rPr>
        <w:t xml:space="preserve">Summary statistics will be broken down by gender and age category. The distribution of continuous variables (e.g. </w:t>
      </w:r>
      <w:r>
        <w:rPr>
          <w:rFonts w:ascii="Calibri Light" w:eastAsia="Calibri" w:hAnsi="Calibri Light" w:cs="Calibri Light"/>
          <w:color w:val="000000"/>
          <w:sz w:val="22"/>
          <w:szCs w:val="22"/>
        </w:rPr>
        <w:t>haemoglobin concentration</w:t>
      </w:r>
      <w:r w:rsidRPr="00965520">
        <w:rPr>
          <w:rFonts w:ascii="Calibri Light" w:eastAsia="Calibri" w:hAnsi="Calibri Light" w:cs="Calibri Light"/>
          <w:color w:val="000000"/>
          <w:sz w:val="22"/>
          <w:szCs w:val="22"/>
        </w:rPr>
        <w:t xml:space="preserve">) will be described using the mean and standard deviation if the data are normally distributed, geometric mean and 95% reference range if the data are normally distributed following a log transformation, or the median and interquartile range if the data are non-normally distributed. </w:t>
      </w:r>
    </w:p>
    <w:p w14:paraId="7A7BF1A2" w14:textId="329F298F" w:rsidR="00A00BED" w:rsidRPr="00965520" w:rsidRDefault="00A00BED" w:rsidP="00A00BED">
      <w:pPr>
        <w:numPr>
          <w:ilvl w:val="2"/>
          <w:numId w:val="12"/>
        </w:numPr>
        <w:spacing w:before="100" w:beforeAutospacing="1" w:after="100" w:afterAutospacing="1" w:line="360" w:lineRule="auto"/>
        <w:contextualSpacing/>
        <w:rPr>
          <w:rFonts w:ascii="Calibri" w:eastAsia="Calibri" w:hAnsi="Calibri" w:cs="Calibri"/>
          <w:b/>
          <w:i/>
          <w:color w:val="000000"/>
          <w:sz w:val="22"/>
          <w:szCs w:val="22"/>
        </w:rPr>
      </w:pPr>
      <w:r w:rsidRPr="00965520">
        <w:rPr>
          <w:rFonts w:ascii="Calibri" w:eastAsia="Calibri" w:hAnsi="Calibri" w:cs="Calibri"/>
          <w:b/>
          <w:i/>
          <w:color w:val="000000"/>
          <w:sz w:val="22"/>
          <w:szCs w:val="22"/>
        </w:rPr>
        <w:t xml:space="preserve">Association between P. vivax recurrence and imperfect adherence to </w:t>
      </w:r>
      <w:r w:rsidR="00CD5C31">
        <w:rPr>
          <w:rFonts w:ascii="Calibri" w:eastAsia="Calibri" w:hAnsi="Calibri" w:cs="Calibri"/>
          <w:b/>
          <w:i/>
          <w:color w:val="000000"/>
          <w:sz w:val="22"/>
          <w:szCs w:val="22"/>
        </w:rPr>
        <w:t>primaquine</w:t>
      </w:r>
      <w:r w:rsidRPr="00965520">
        <w:rPr>
          <w:rFonts w:ascii="Calibri" w:eastAsia="Calibri" w:hAnsi="Calibri" w:cs="Calibri"/>
          <w:b/>
          <w:i/>
          <w:color w:val="000000"/>
          <w:sz w:val="22"/>
          <w:szCs w:val="22"/>
        </w:rPr>
        <w:t xml:space="preserve"> regimen</w:t>
      </w:r>
    </w:p>
    <w:p w14:paraId="7FF1DF24" w14:textId="726D8BBD" w:rsidR="00A00BED" w:rsidRDefault="00A00BED" w:rsidP="00A00BED">
      <w:pPr>
        <w:numPr>
          <w:ilvl w:val="0"/>
          <w:numId w:val="30"/>
        </w:numPr>
        <w:spacing w:before="100" w:beforeAutospacing="1" w:after="100" w:afterAutospacing="1" w:line="360" w:lineRule="auto"/>
        <w:contextualSpacing/>
        <w:jc w:val="both"/>
        <w:rPr>
          <w:rFonts w:ascii="Calibri Light" w:eastAsia="Calibri" w:hAnsi="Calibri Light" w:cs="Calibri Light"/>
          <w:color w:val="000000"/>
          <w:sz w:val="22"/>
          <w:szCs w:val="22"/>
        </w:rPr>
      </w:pPr>
      <w:r w:rsidRPr="00965520">
        <w:rPr>
          <w:rFonts w:ascii="Calibri Light" w:eastAsia="Calibri" w:hAnsi="Calibri Light" w:cs="Calibri Light"/>
          <w:color w:val="000000"/>
          <w:sz w:val="22"/>
          <w:szCs w:val="22"/>
        </w:rPr>
        <w:t xml:space="preserve">The summary distribution of adherence to primaquine </w:t>
      </w:r>
      <w:r>
        <w:rPr>
          <w:rFonts w:ascii="Calibri Light" w:eastAsia="Calibri" w:hAnsi="Calibri Light" w:cs="Calibri Light"/>
          <w:color w:val="000000"/>
          <w:sz w:val="22"/>
          <w:szCs w:val="22"/>
        </w:rPr>
        <w:t xml:space="preserve">as the exposure of interest </w:t>
      </w:r>
      <w:r w:rsidRPr="00965520">
        <w:rPr>
          <w:rFonts w:ascii="Calibri Light" w:eastAsia="Calibri" w:hAnsi="Calibri Light" w:cs="Calibri Light"/>
          <w:color w:val="000000"/>
          <w:sz w:val="22"/>
          <w:szCs w:val="22"/>
        </w:rPr>
        <w:t xml:space="preserve">will be </w:t>
      </w:r>
      <w:r w:rsidR="00EC4BAA">
        <w:rPr>
          <w:rFonts w:ascii="Calibri Light" w:eastAsia="Calibri" w:hAnsi="Calibri Light" w:cs="Calibri Light"/>
          <w:color w:val="000000"/>
          <w:sz w:val="22"/>
          <w:szCs w:val="22"/>
        </w:rPr>
        <w:t>presented</w:t>
      </w:r>
      <w:r w:rsidRPr="00965520">
        <w:rPr>
          <w:rFonts w:ascii="Calibri Light" w:eastAsia="Calibri" w:hAnsi="Calibri Light" w:cs="Calibri Light"/>
          <w:color w:val="000000"/>
          <w:sz w:val="22"/>
          <w:szCs w:val="22"/>
        </w:rPr>
        <w:t xml:space="preserve"> by the primary and secondary measures of adherence</w:t>
      </w:r>
      <w:r w:rsidR="0097460D" w:rsidRPr="00965520">
        <w:rPr>
          <w:rFonts w:ascii="Calibri Light" w:eastAsia="Calibri" w:hAnsi="Calibri Light" w:cs="Calibri Light"/>
          <w:color w:val="000000"/>
          <w:sz w:val="22"/>
          <w:szCs w:val="22"/>
        </w:rPr>
        <w:t xml:space="preserve">. The distributions will be </w:t>
      </w:r>
      <w:r w:rsidR="002B29BE">
        <w:rPr>
          <w:rFonts w:ascii="Calibri Light" w:eastAsia="Calibri" w:hAnsi="Calibri Light" w:cs="Calibri Light"/>
          <w:color w:val="000000"/>
          <w:sz w:val="22"/>
          <w:szCs w:val="22"/>
        </w:rPr>
        <w:t>assessed</w:t>
      </w:r>
      <w:r w:rsidR="0097460D" w:rsidRPr="00965520">
        <w:rPr>
          <w:rFonts w:ascii="Calibri Light" w:eastAsia="Calibri" w:hAnsi="Calibri Light" w:cs="Calibri Light"/>
          <w:color w:val="000000"/>
          <w:sz w:val="22"/>
          <w:szCs w:val="22"/>
        </w:rPr>
        <w:t xml:space="preserve"> separately </w:t>
      </w:r>
      <w:r w:rsidRPr="00965520">
        <w:rPr>
          <w:rFonts w:ascii="Calibri Light" w:eastAsia="Calibri" w:hAnsi="Calibri Light" w:cs="Calibri Light"/>
          <w:color w:val="000000"/>
          <w:sz w:val="22"/>
          <w:szCs w:val="22"/>
        </w:rPr>
        <w:t xml:space="preserve">in tables (mean (SD)) as well as visualised the distribution of </w:t>
      </w:r>
      <w:r w:rsidR="004363A2">
        <w:rPr>
          <w:rFonts w:ascii="Calibri Light" w:eastAsia="Calibri" w:hAnsi="Calibri Light" w:cs="Calibri Light"/>
          <w:color w:val="000000"/>
          <w:sz w:val="22"/>
          <w:szCs w:val="22"/>
        </w:rPr>
        <w:t>adherence measures</w:t>
      </w:r>
      <w:r w:rsidRPr="00965520">
        <w:rPr>
          <w:rFonts w:ascii="Calibri Light" w:eastAsia="Calibri" w:hAnsi="Calibri Light" w:cs="Calibri Light"/>
          <w:color w:val="000000"/>
          <w:sz w:val="22"/>
          <w:szCs w:val="22"/>
        </w:rPr>
        <w:t xml:space="preserve">. </w:t>
      </w:r>
    </w:p>
    <w:p w14:paraId="7D0A5BB0" w14:textId="739690CA" w:rsidR="00A00BED" w:rsidRPr="00965520" w:rsidRDefault="00A00BED" w:rsidP="00A00BED">
      <w:pPr>
        <w:numPr>
          <w:ilvl w:val="0"/>
          <w:numId w:val="32"/>
        </w:numPr>
        <w:spacing w:before="100" w:beforeAutospacing="1" w:after="100" w:afterAutospacing="1" w:line="360" w:lineRule="auto"/>
        <w:contextualSpacing/>
        <w:jc w:val="both"/>
        <w:rPr>
          <w:rFonts w:ascii="Calibri Light" w:eastAsia="Calibri" w:hAnsi="Calibri Light" w:cs="Calibri Light"/>
          <w:color w:val="000000"/>
          <w:sz w:val="22"/>
          <w:szCs w:val="22"/>
        </w:rPr>
      </w:pPr>
      <w:r w:rsidRPr="00965520">
        <w:rPr>
          <w:rFonts w:ascii="Calibri Light" w:eastAsia="Calibri" w:hAnsi="Calibri Light" w:cs="Calibri Light"/>
          <w:color w:val="000000"/>
          <w:sz w:val="22"/>
          <w:szCs w:val="22"/>
        </w:rPr>
        <w:t xml:space="preserve">Outcomes obtained using WWARN’s standardised outputs will be used to compute the Kaplan-Meier (K-M) estimates, according to the adherence groups calculated for the primary and secondary measures of adherence </w:t>
      </w:r>
      <w:r w:rsidRPr="00965520">
        <w:rPr>
          <w:rFonts w:ascii="Calibri Light" w:eastAsia="Calibri" w:hAnsi="Calibri Light" w:cs="Calibri Light"/>
          <w:color w:val="000000"/>
          <w:sz w:val="22"/>
          <w:szCs w:val="22"/>
        </w:rPr>
        <w:fldChar w:fldCharType="begin" w:fldLock="1"/>
      </w:r>
      <w:r w:rsidR="00181283">
        <w:rPr>
          <w:rFonts w:ascii="Calibri Light" w:eastAsia="Calibri" w:hAnsi="Calibri Light" w:cs="Calibri Light"/>
          <w:color w:val="000000"/>
          <w:sz w:val="22"/>
          <w:szCs w:val="22"/>
        </w:rPr>
        <w:instrText>ADDIN CSL_CITATION {"citationItems":[{"id":"ITEM-1","itemData":{"id":"ITEM-1","issued":{"date-parts":[["0"]]},"title":"Clinical Module: Data Management and Statistical Analysis Plan Version 1.2 Clinical Module WorldWide Antimalarial Resistance Network (WWARN)","type":"report"},"uris":["http://www.mendeley.com/documents/?uuid=26aa2fbe-2aff-3fd2-867f-7edf6cf63e4d"]}],"mendeley":{"formattedCitation":"(3)","plainTextFormattedCitation":"(3)","previouslyFormattedCitation":"(31)"},"properties":{"noteIndex":0},"schema":"https://github.com/citation-style-language/schema/raw/master/csl-citation.json"}</w:instrText>
      </w:r>
      <w:r w:rsidRPr="00965520">
        <w:rPr>
          <w:rFonts w:ascii="Calibri Light" w:eastAsia="Calibri" w:hAnsi="Calibri Light" w:cs="Calibri Light"/>
          <w:color w:val="000000"/>
          <w:sz w:val="22"/>
          <w:szCs w:val="22"/>
        </w:rPr>
        <w:fldChar w:fldCharType="separate"/>
      </w:r>
      <w:r w:rsidR="00181283" w:rsidRPr="00181283">
        <w:rPr>
          <w:rFonts w:ascii="Calibri Light" w:eastAsia="Calibri" w:hAnsi="Calibri Light" w:cs="Calibri Light"/>
          <w:noProof/>
          <w:color w:val="000000"/>
          <w:sz w:val="22"/>
          <w:szCs w:val="22"/>
        </w:rPr>
        <w:t>(3)</w:t>
      </w:r>
      <w:r w:rsidRPr="00965520">
        <w:rPr>
          <w:rFonts w:ascii="Calibri Light" w:eastAsia="Calibri" w:hAnsi="Calibri Light" w:cs="Calibri Light"/>
          <w:color w:val="000000"/>
          <w:sz w:val="22"/>
          <w:szCs w:val="22"/>
        </w:rPr>
        <w:fldChar w:fldCharType="end"/>
      </w:r>
      <w:r w:rsidRPr="00965520">
        <w:rPr>
          <w:rFonts w:ascii="Calibri Light" w:eastAsia="Calibri" w:hAnsi="Calibri Light" w:cs="Calibri Light"/>
          <w:color w:val="000000"/>
          <w:sz w:val="22"/>
          <w:szCs w:val="22"/>
        </w:rPr>
        <w:t xml:space="preserve">. The risk of first </w:t>
      </w:r>
      <w:r w:rsidRPr="00965520">
        <w:rPr>
          <w:rFonts w:ascii="Calibri Light" w:eastAsia="Calibri" w:hAnsi="Calibri Light" w:cs="Calibri Light"/>
          <w:i/>
          <w:color w:val="000000"/>
          <w:sz w:val="22"/>
          <w:szCs w:val="22"/>
        </w:rPr>
        <w:t>P. vivax</w:t>
      </w:r>
      <w:r w:rsidRPr="00965520">
        <w:rPr>
          <w:rFonts w:ascii="Calibri Light" w:eastAsia="Calibri" w:hAnsi="Calibri Light" w:cs="Calibri Light"/>
          <w:color w:val="000000"/>
          <w:sz w:val="22"/>
          <w:szCs w:val="22"/>
        </w:rPr>
        <w:t xml:space="preserve"> recurrence (between days 7 and 42 (and for secondary outcomes: between days 28 and 63)), by the adherence groups, will be calculated using K-M survival analysis. The K-M </w:t>
      </w:r>
      <w:r>
        <w:rPr>
          <w:rFonts w:ascii="Calibri Light" w:eastAsia="Calibri" w:hAnsi="Calibri Light" w:cs="Calibri Light"/>
          <w:color w:val="000000"/>
          <w:sz w:val="22"/>
          <w:szCs w:val="22"/>
        </w:rPr>
        <w:t>curves</w:t>
      </w:r>
      <w:r w:rsidRPr="00965520">
        <w:rPr>
          <w:rFonts w:ascii="Calibri Light" w:eastAsia="Calibri" w:hAnsi="Calibri Light" w:cs="Calibri Light"/>
          <w:color w:val="000000"/>
          <w:sz w:val="22"/>
          <w:szCs w:val="22"/>
        </w:rPr>
        <w:t xml:space="preserve"> will be presented graphically together with the associated tables. </w:t>
      </w:r>
    </w:p>
    <w:p w14:paraId="116C79A2" w14:textId="585A96A5" w:rsidR="00A00BED" w:rsidRPr="00965520" w:rsidRDefault="00A00BED" w:rsidP="00A00BED">
      <w:pPr>
        <w:numPr>
          <w:ilvl w:val="0"/>
          <w:numId w:val="32"/>
        </w:numPr>
        <w:spacing w:before="100" w:beforeAutospacing="1" w:after="100" w:afterAutospacing="1" w:line="360" w:lineRule="auto"/>
        <w:contextualSpacing/>
        <w:jc w:val="both"/>
        <w:rPr>
          <w:rFonts w:ascii="Calibri Light" w:eastAsia="Calibri" w:hAnsi="Calibri Light" w:cs="Calibri Light"/>
          <w:color w:val="000000"/>
          <w:sz w:val="22"/>
          <w:szCs w:val="22"/>
        </w:rPr>
      </w:pPr>
      <w:r w:rsidRPr="00965520">
        <w:rPr>
          <w:rFonts w:ascii="Calibri Light" w:eastAsia="Calibri" w:hAnsi="Calibri Light" w:cs="Calibri Light"/>
          <w:color w:val="000000"/>
          <w:sz w:val="22"/>
          <w:szCs w:val="22"/>
        </w:rPr>
        <w:t xml:space="preserve">Cox regression analysis will be performed to estimate the association between adherence and time to the first </w:t>
      </w:r>
      <w:r w:rsidRPr="00965520">
        <w:rPr>
          <w:rFonts w:ascii="Calibri Light" w:eastAsia="Calibri" w:hAnsi="Calibri Light" w:cs="Calibri Light"/>
          <w:i/>
          <w:color w:val="000000"/>
          <w:sz w:val="22"/>
          <w:szCs w:val="22"/>
        </w:rPr>
        <w:t>P. vivax</w:t>
      </w:r>
      <w:r w:rsidRPr="00965520">
        <w:rPr>
          <w:rFonts w:ascii="Calibri Light" w:eastAsia="Calibri" w:hAnsi="Calibri Light" w:cs="Calibri Light"/>
          <w:color w:val="000000"/>
          <w:sz w:val="22"/>
          <w:szCs w:val="22"/>
        </w:rPr>
        <w:t xml:space="preserve"> recurrence during follow-up (primary analysis is between days 7 and 42 </w:t>
      </w:r>
      <w:r w:rsidRPr="00965520">
        <w:rPr>
          <w:rFonts w:ascii="Calibri Light" w:eastAsia="Calibri" w:hAnsi="Calibri Light" w:cs="Calibri Light"/>
          <w:color w:val="000000"/>
          <w:sz w:val="22"/>
          <w:szCs w:val="22"/>
        </w:rPr>
        <w:lastRenderedPageBreak/>
        <w:t>(secondary analyses for days 28 and 63 follow-up), with a random intercept for study-site. Random intercept will be addressed with shared frailty models which are used in the Cox regression model to account for the unobserved heterogeneity in patients hazard to the rate of recurrence</w:t>
      </w:r>
      <w:r>
        <w:rPr>
          <w:rFonts w:ascii="Calibri Light" w:eastAsia="Calibri" w:hAnsi="Calibri Light" w:cs="Calibri Light"/>
          <w:color w:val="000000"/>
          <w:sz w:val="22"/>
          <w:szCs w:val="22"/>
        </w:rPr>
        <w:t xml:space="preserve"> </w:t>
      </w:r>
      <w:r w:rsidRPr="00965520">
        <w:rPr>
          <w:rFonts w:ascii="Calibri Light" w:eastAsia="Calibri" w:hAnsi="Calibri Light" w:cs="Calibri Light"/>
          <w:color w:val="000000"/>
          <w:sz w:val="22"/>
          <w:szCs w:val="22"/>
        </w:rPr>
        <w:fldChar w:fldCharType="begin" w:fldLock="1"/>
      </w:r>
      <w:r w:rsidR="00181283">
        <w:rPr>
          <w:rFonts w:ascii="Calibri Light" w:eastAsia="Calibri" w:hAnsi="Calibri Light" w:cs="Calibri Light"/>
          <w:color w:val="000000"/>
          <w:sz w:val="22"/>
          <w:szCs w:val="22"/>
        </w:rPr>
        <w:instrText>ADDIN CSL_CITATION {"citationItems":[{"id":"ITEM-1","itemData":{"DOI":"10.1007/978-1-4757-3294-8","ISBN":"978-1-4419-3161-0","author":[{"dropping-particle":"","family":"Therneau","given":"Terry M","non-dropping-particle":"","parse-names":false,"suffix":""},{"dropping-particle":"","family":"Grambsch","given":"Patricia M","non-dropping-particle":"","parse-names":false,"suffix":""}],"chapter-number":"Frailty Mo","container-title":"Modeling Survival Data: Extending the Cox Model","id":"ITEM-1","issued":{"date-parts":[["2000"]]},"page":"231-259","publisher":"Springer US","title":"Modeling Survival DAta","type":"chapter"},"uris":["http://www.mendeley.com/documents/?uuid=ffe3bea4-5844-4216-bb95-57421f3b4498"]},{"id":"ITEM-2","itemData":{"DOI":"10.1201/9781420073911","ISBN":"9781420073911","abstract":"The concept of frailty offers a convenient way to introduce unobserved heterogeneity and associations into models for survival data. In its simplest form, frailty is an unobserved random proportionality factor that modifies the hazard function of an individual or a group of related individuals. Frailty Models in Survival Analysis presents a comprehensive overview of the fundamental approaches in the area of frailty models. The book extensively explores how univariate frailty models can represent unobserved heterogeneity. It also emphasizes correlated frailty models as extensions of univariate and shared frailty models. The author analyzes similarities and differences between frailty and copula models; discusses problems related to frailty models, such as tests for homogeneity; and describes parametric and semiparametric models using both frequentist and Bayesian approaches. He also shows how to apply the models to real data using the statistical packages of R, SAS, and Stata. The appendix provides the technical mathematical results used throughout. Written in nontechnical terms accessible to nonspecialists, this book explains the basic ideas in frailty modeling and statistical techniques, with a focus on real-world data application and interpretation of the results. By applying several models to the same data, it allows for the comparison of their advantages and limitations under varying model assumptions. The book also employs simulations to analyze the finite sample size performance of the models.","author":[{"dropping-particle":"","family":"Wienke","given":"Andreas","non-dropping-particle":"","parse-names":false,"suffix":""}],"container-title":"Frailty Models in Survival Analysis","id":"ITEM-2","issued":{"date-parts":[["2010"]]},"title":"Frailty models in survival analysis","type":"book"},"uris":["http://www.mendeley.com/documents/?uuid=1f824de3-dab9-46e2-9edf-01f4589ce274"]}],"mendeley":{"formattedCitation":"(11,12)","plainTextFormattedCitation":"(11,12)","previouslyFormattedCitation":"(36,37)"},"properties":{"noteIndex":0},"schema":"https://github.com/citation-style-language/schema/raw/master/csl-citation.json"}</w:instrText>
      </w:r>
      <w:r w:rsidRPr="00965520">
        <w:rPr>
          <w:rFonts w:ascii="Calibri Light" w:eastAsia="Calibri" w:hAnsi="Calibri Light" w:cs="Calibri Light"/>
          <w:color w:val="000000"/>
          <w:sz w:val="22"/>
          <w:szCs w:val="22"/>
        </w:rPr>
        <w:fldChar w:fldCharType="separate"/>
      </w:r>
      <w:r w:rsidR="00181283" w:rsidRPr="00181283">
        <w:rPr>
          <w:rFonts w:ascii="Calibri Light" w:eastAsia="Calibri" w:hAnsi="Calibri Light" w:cs="Calibri Light"/>
          <w:noProof/>
          <w:color w:val="000000"/>
          <w:sz w:val="22"/>
          <w:szCs w:val="22"/>
        </w:rPr>
        <w:t>(11,12)</w:t>
      </w:r>
      <w:r w:rsidRPr="00965520">
        <w:rPr>
          <w:rFonts w:ascii="Calibri Light" w:eastAsia="Calibri" w:hAnsi="Calibri Light" w:cs="Calibri Light"/>
          <w:color w:val="000000"/>
          <w:sz w:val="22"/>
          <w:szCs w:val="22"/>
        </w:rPr>
        <w:fldChar w:fldCharType="end"/>
      </w:r>
      <w:r w:rsidRPr="00965520">
        <w:rPr>
          <w:rFonts w:ascii="Calibri Light" w:eastAsia="Calibri" w:hAnsi="Calibri Light" w:cs="Calibri Light"/>
          <w:color w:val="000000"/>
          <w:sz w:val="22"/>
          <w:szCs w:val="22"/>
        </w:rPr>
        <w:t xml:space="preserve">. The analysis will control for potential confounders including age, sex, baseline parasitemia, </w:t>
      </w:r>
      <w:proofErr w:type="spellStart"/>
      <w:r w:rsidRPr="00965520">
        <w:rPr>
          <w:rFonts w:ascii="Calibri Light" w:eastAsia="Calibri" w:hAnsi="Calibri Light" w:cs="Calibri Light"/>
          <w:color w:val="000000"/>
          <w:sz w:val="22"/>
          <w:szCs w:val="22"/>
        </w:rPr>
        <w:t>schizontocidal</w:t>
      </w:r>
      <w:proofErr w:type="spellEnd"/>
      <w:r w:rsidRPr="00965520">
        <w:rPr>
          <w:rFonts w:ascii="Calibri Light" w:eastAsia="Calibri" w:hAnsi="Calibri Light" w:cs="Calibri Light"/>
          <w:color w:val="000000"/>
          <w:sz w:val="22"/>
          <w:szCs w:val="22"/>
        </w:rPr>
        <w:t xml:space="preserve"> treatment (Chloroquine/ACTs), and regional relapse periodically. Body weight of the patient will not be included as a confounder due to collinearity with age. Collinearity between relapse periodicity and geographical region and parasite prevalence will be measured. Additional covariates will be examined, including vomiting, baseline temperature and haemoglobin. </w:t>
      </w:r>
    </w:p>
    <w:p w14:paraId="0982F7B9" w14:textId="77777777" w:rsidR="00A00BED" w:rsidRPr="00965520" w:rsidRDefault="00A00BED" w:rsidP="00A00BED">
      <w:pPr>
        <w:numPr>
          <w:ilvl w:val="2"/>
          <w:numId w:val="12"/>
        </w:numPr>
        <w:spacing w:before="100" w:beforeAutospacing="1" w:after="100" w:afterAutospacing="1" w:line="360" w:lineRule="auto"/>
        <w:contextualSpacing/>
        <w:rPr>
          <w:rFonts w:ascii="Calibri" w:eastAsia="Calibri" w:hAnsi="Calibri" w:cs="Calibri"/>
          <w:b/>
          <w:i/>
          <w:color w:val="000000"/>
          <w:sz w:val="22"/>
          <w:szCs w:val="22"/>
        </w:rPr>
      </w:pPr>
      <w:r w:rsidRPr="00965520">
        <w:rPr>
          <w:rFonts w:ascii="Calibri" w:eastAsia="Calibri" w:hAnsi="Calibri" w:cs="Calibri"/>
          <w:b/>
          <w:i/>
          <w:color w:val="000000"/>
          <w:sz w:val="22"/>
          <w:szCs w:val="22"/>
        </w:rPr>
        <w:t>Identify the key patient factors that contribute to imperfect adherence</w:t>
      </w:r>
    </w:p>
    <w:p w14:paraId="00662CB5" w14:textId="77777777" w:rsidR="00A00BED" w:rsidRPr="00965520" w:rsidRDefault="00A00BED" w:rsidP="00A00BED">
      <w:pPr>
        <w:numPr>
          <w:ilvl w:val="0"/>
          <w:numId w:val="32"/>
        </w:numPr>
        <w:spacing w:before="100" w:beforeAutospacing="1" w:after="100" w:afterAutospacing="1" w:line="360" w:lineRule="auto"/>
        <w:contextualSpacing/>
        <w:jc w:val="both"/>
        <w:rPr>
          <w:rFonts w:ascii="Calibri Light" w:eastAsia="Calibri" w:hAnsi="Calibri Light" w:cs="Calibri Light"/>
          <w:color w:val="000000"/>
          <w:sz w:val="22"/>
          <w:szCs w:val="22"/>
        </w:rPr>
      </w:pPr>
      <w:r w:rsidRPr="00965520">
        <w:rPr>
          <w:rFonts w:ascii="Calibri Light" w:eastAsia="Calibri" w:hAnsi="Calibri Light" w:cs="Calibri Light"/>
          <w:color w:val="000000"/>
          <w:sz w:val="22"/>
          <w:szCs w:val="22"/>
        </w:rPr>
        <w:t>The association between imperfect adherence (the primary and secondary adherence measures are ordinal variables with 5 grouping</w:t>
      </w:r>
      <w:r>
        <w:rPr>
          <w:rFonts w:ascii="Calibri Light" w:eastAsia="Calibri" w:hAnsi="Calibri Light" w:cs="Calibri Light"/>
          <w:color w:val="000000"/>
          <w:sz w:val="22"/>
          <w:szCs w:val="22"/>
        </w:rPr>
        <w:t>s</w:t>
      </w:r>
      <w:r w:rsidRPr="00965520">
        <w:rPr>
          <w:rFonts w:ascii="Calibri Light" w:eastAsia="Calibri" w:hAnsi="Calibri Light" w:cs="Calibri Light"/>
          <w:color w:val="000000"/>
          <w:sz w:val="22"/>
          <w:szCs w:val="22"/>
        </w:rPr>
        <w:t xml:space="preserve">, see section 2.3.3) as an outcome and key patient factors involving age, sex, weight, history of malaria, nutritional status, different </w:t>
      </w:r>
      <w:proofErr w:type="spellStart"/>
      <w:r w:rsidRPr="00965520">
        <w:rPr>
          <w:rFonts w:ascii="Calibri Light" w:eastAsia="Calibri" w:hAnsi="Calibri Light" w:cs="Calibri Light"/>
          <w:color w:val="000000"/>
          <w:sz w:val="22"/>
          <w:szCs w:val="22"/>
        </w:rPr>
        <w:t>schizontocidal</w:t>
      </w:r>
      <w:proofErr w:type="spellEnd"/>
      <w:r w:rsidRPr="00965520">
        <w:rPr>
          <w:rFonts w:ascii="Calibri Light" w:eastAsia="Calibri" w:hAnsi="Calibri Light" w:cs="Calibri Light"/>
          <w:color w:val="000000"/>
          <w:sz w:val="22"/>
          <w:szCs w:val="22"/>
        </w:rPr>
        <w:t xml:space="preserve"> treatments,  and G6PD status will be analysed by ordinal logistic regression, with study site included as a random effect.  Other </w:t>
      </w:r>
      <w:r>
        <w:rPr>
          <w:rFonts w:ascii="Calibri Light" w:eastAsia="Calibri" w:hAnsi="Calibri Light" w:cs="Calibri Light"/>
          <w:color w:val="000000"/>
          <w:sz w:val="22"/>
          <w:szCs w:val="22"/>
        </w:rPr>
        <w:t>e</w:t>
      </w:r>
      <w:r w:rsidRPr="00965520">
        <w:rPr>
          <w:rFonts w:ascii="Calibri Light" w:eastAsia="Calibri" w:hAnsi="Calibri Light" w:cs="Calibri Light"/>
          <w:color w:val="000000"/>
          <w:sz w:val="22"/>
          <w:szCs w:val="22"/>
        </w:rPr>
        <w:t xml:space="preserve">xploratory factors will be examined for potential effects including vomiting, fever, and anaemia status. </w:t>
      </w:r>
    </w:p>
    <w:p w14:paraId="6ACDCD94" w14:textId="77777777" w:rsidR="00A00BED" w:rsidRPr="00965520" w:rsidRDefault="00A00BED" w:rsidP="00A00BED">
      <w:pPr>
        <w:numPr>
          <w:ilvl w:val="2"/>
          <w:numId w:val="12"/>
        </w:numPr>
        <w:spacing w:before="100" w:beforeAutospacing="1" w:after="100" w:afterAutospacing="1" w:line="360" w:lineRule="auto"/>
        <w:contextualSpacing/>
        <w:rPr>
          <w:rFonts w:ascii="Calibri" w:eastAsia="Calibri" w:hAnsi="Calibri" w:cs="Calibri"/>
          <w:b/>
          <w:i/>
          <w:color w:val="000000"/>
          <w:sz w:val="22"/>
          <w:szCs w:val="22"/>
        </w:rPr>
      </w:pPr>
      <w:r w:rsidRPr="00965520">
        <w:rPr>
          <w:rFonts w:ascii="Calibri" w:eastAsia="Calibri" w:hAnsi="Calibri" w:cs="Calibri"/>
          <w:b/>
          <w:i/>
          <w:color w:val="000000"/>
          <w:sz w:val="22"/>
          <w:szCs w:val="22"/>
        </w:rPr>
        <w:t>Sensitivity analysis</w:t>
      </w:r>
    </w:p>
    <w:p w14:paraId="74549EF3" w14:textId="77777777" w:rsidR="00A00BED" w:rsidRPr="00965520" w:rsidRDefault="00A00BED" w:rsidP="00A00BED">
      <w:pPr>
        <w:numPr>
          <w:ilvl w:val="0"/>
          <w:numId w:val="32"/>
        </w:numPr>
        <w:spacing w:before="100" w:beforeAutospacing="1" w:after="100" w:afterAutospacing="1" w:line="360" w:lineRule="auto"/>
        <w:contextualSpacing/>
        <w:jc w:val="both"/>
        <w:rPr>
          <w:rFonts w:ascii="Calibri Light" w:eastAsia="Calibri" w:hAnsi="Calibri Light" w:cs="Calibri Light"/>
          <w:color w:val="000000"/>
          <w:sz w:val="22"/>
          <w:szCs w:val="22"/>
        </w:rPr>
      </w:pPr>
      <w:r w:rsidRPr="00965520">
        <w:rPr>
          <w:rFonts w:ascii="Calibri Light" w:eastAsia="Calibri" w:hAnsi="Calibri Light" w:cs="Calibri Light"/>
          <w:color w:val="000000"/>
          <w:sz w:val="22"/>
          <w:szCs w:val="22"/>
        </w:rPr>
        <w:t xml:space="preserve">The coefficient of variation will be calculated for estimates of the primary analysis (section 2.5.3) by removal of one study site at a time to assess heterogeneity of study sites. The coefficient of variation around parameter estimates will be calculated to compare with the absolute variation of the coefficients in regression models. </w:t>
      </w:r>
    </w:p>
    <w:p w14:paraId="6D62C5FD" w14:textId="77777777" w:rsidR="00A00BED" w:rsidRPr="00965520" w:rsidRDefault="00A00BED" w:rsidP="00A00BED">
      <w:pPr>
        <w:numPr>
          <w:ilvl w:val="0"/>
          <w:numId w:val="32"/>
        </w:numPr>
        <w:spacing w:before="100" w:beforeAutospacing="1" w:after="100" w:afterAutospacing="1" w:line="360" w:lineRule="auto"/>
        <w:contextualSpacing/>
        <w:jc w:val="both"/>
        <w:rPr>
          <w:rFonts w:ascii="Calibri Light" w:eastAsia="Calibri" w:hAnsi="Calibri Light" w:cs="Calibri Light"/>
          <w:color w:val="000000"/>
          <w:sz w:val="22"/>
          <w:szCs w:val="22"/>
        </w:rPr>
      </w:pPr>
      <w:r w:rsidRPr="00965520">
        <w:rPr>
          <w:rFonts w:ascii="Calibri Light" w:eastAsia="Calibri" w:hAnsi="Calibri Light" w:cs="Calibri Light"/>
          <w:color w:val="000000"/>
          <w:sz w:val="22"/>
          <w:szCs w:val="22"/>
        </w:rPr>
        <w:t xml:space="preserve">Additionally, baseline characteristics of the included studies will be compared with targeted studies that were not included. </w:t>
      </w:r>
    </w:p>
    <w:p w14:paraId="0152628A" w14:textId="77777777" w:rsidR="00A00BED" w:rsidRPr="00965520" w:rsidRDefault="00A00BED" w:rsidP="00A00BED">
      <w:pPr>
        <w:numPr>
          <w:ilvl w:val="2"/>
          <w:numId w:val="12"/>
        </w:numPr>
        <w:spacing w:before="100" w:beforeAutospacing="1" w:after="100" w:afterAutospacing="1" w:line="360" w:lineRule="auto"/>
        <w:contextualSpacing/>
        <w:rPr>
          <w:rFonts w:ascii="Calibri" w:eastAsia="Calibri" w:hAnsi="Calibri" w:cs="Calibri"/>
          <w:b/>
          <w:i/>
          <w:color w:val="000000"/>
          <w:sz w:val="22"/>
          <w:szCs w:val="22"/>
        </w:rPr>
      </w:pPr>
      <w:r w:rsidRPr="00965520">
        <w:rPr>
          <w:rFonts w:ascii="Calibri" w:eastAsia="Calibri" w:hAnsi="Calibri" w:cs="Calibri"/>
          <w:b/>
          <w:i/>
          <w:color w:val="000000"/>
          <w:sz w:val="22"/>
          <w:szCs w:val="22"/>
        </w:rPr>
        <w:t>Risk of bias</w:t>
      </w:r>
    </w:p>
    <w:p w14:paraId="5473AC70" w14:textId="77777777" w:rsidR="00CA6F34" w:rsidRDefault="00A00BED" w:rsidP="00BF7745">
      <w:pPr>
        <w:spacing w:line="360" w:lineRule="auto"/>
        <w:jc w:val="both"/>
        <w:rPr>
          <w:rFonts w:ascii="Calibri Light" w:hAnsi="Calibri Light" w:cs="Calibri Light"/>
          <w:color w:val="000000"/>
          <w:sz w:val="22"/>
          <w:szCs w:val="22"/>
        </w:rPr>
      </w:pPr>
      <w:r w:rsidRPr="00965520">
        <w:rPr>
          <w:rFonts w:ascii="Calibri Light" w:hAnsi="Calibri Light" w:cs="Calibri Light"/>
          <w:color w:val="000000"/>
          <w:sz w:val="22"/>
          <w:szCs w:val="22"/>
        </w:rPr>
        <w:t>We will consider the risk of bias which is a key component of checking the quality of included studies in systematic review using Individual Participant Data (IPD) meta-analysis methods</w:t>
      </w:r>
      <w:r w:rsidRPr="00965520">
        <w:rPr>
          <w:rFonts w:ascii="Calibri Light" w:hAnsi="Calibri Light" w:cs="Calibri Light"/>
          <w:color w:val="000000"/>
          <w:sz w:val="22"/>
          <w:szCs w:val="22"/>
        </w:rPr>
        <w:fldChar w:fldCharType="begin" w:fldLock="1"/>
      </w:r>
      <w:r w:rsidR="00181283">
        <w:rPr>
          <w:rFonts w:ascii="Calibri Light" w:hAnsi="Calibri Light" w:cs="Calibri Light"/>
          <w:color w:val="000000"/>
          <w:sz w:val="22"/>
          <w:szCs w:val="22"/>
        </w:rPr>
        <w:instrText>ADDIN CSL_CITATION {"citationItems":[{"id":"ITEM-1","itemData":{"DOI":"10.1371/journal.pmed.1001855","ISSN":"15491676","author":[{"dropping-particle":"","family":"Tierney","given":"Jayne F.","non-dropping-particle":"","parse-names":false,"suffix":""},{"dropping-particle":"","family":"Vale","given":"Claire","non-dropping-particle":"","parse-names":false,"suffix":""},{"dropping-particle":"","family":"Riley","given":"Richard","non-dropping-particle":"","parse-names":false,"suffix":""},{"dropping-particle":"","family":"Smith","given":"Catrin Tudur","non-dropping-particle":"","parse-names":false,"suffix":""},{"dropping-particle":"","family":"Stewart","given":"Lesley","non-dropping-particle":"","parse-names":false,"suffix":""},{"dropping-particle":"","family":"Clarke","given":"Mike","non-dropping-particle":"","parse-names":false,"suffix":""},{"dropping-particle":"","family":"Rovers","given":"Maroeska","non-dropping-particle":"","parse-names":false,"suffix":""}],"container-title":"PLoS Medicine","id":"ITEM-1","issued":{"date-parts":[["2015"]]},"title":"Individual participant data (IPD) metaanalyses of randomised controlled trials: Uidance on their use","type":"article-journal"},"uris":["http://www.mendeley.com/documents/?uuid=2a99bfc7-f457-460f-94aa-c3d3345c3f30"]}],"mendeley":{"formattedCitation":"(13)","plainTextFormattedCitation":"(13)","previouslyFormattedCitation":"(38)"},"properties":{"noteIndex":0},"schema":"https://github.com/citation-style-language/schema/raw/master/csl-citation.json"}</w:instrText>
      </w:r>
      <w:r w:rsidRPr="00965520">
        <w:rPr>
          <w:rFonts w:ascii="Calibri Light" w:hAnsi="Calibri Light" w:cs="Calibri Light"/>
          <w:color w:val="000000"/>
          <w:sz w:val="22"/>
          <w:szCs w:val="22"/>
        </w:rPr>
        <w:fldChar w:fldCharType="separate"/>
      </w:r>
      <w:r w:rsidR="00181283" w:rsidRPr="00181283">
        <w:rPr>
          <w:rFonts w:ascii="Calibri Light" w:hAnsi="Calibri Light" w:cs="Calibri Light"/>
          <w:noProof/>
          <w:color w:val="000000"/>
          <w:sz w:val="22"/>
          <w:szCs w:val="22"/>
        </w:rPr>
        <w:t>(13)</w:t>
      </w:r>
      <w:r w:rsidRPr="00965520">
        <w:rPr>
          <w:rFonts w:ascii="Calibri Light" w:hAnsi="Calibri Light" w:cs="Calibri Light"/>
          <w:color w:val="000000"/>
          <w:sz w:val="22"/>
          <w:szCs w:val="22"/>
        </w:rPr>
        <w:fldChar w:fldCharType="end"/>
      </w:r>
      <w:r w:rsidRPr="00965520">
        <w:rPr>
          <w:rFonts w:ascii="Calibri Light" w:hAnsi="Calibri Light" w:cs="Calibri Light"/>
          <w:color w:val="000000"/>
          <w:sz w:val="22"/>
          <w:szCs w:val="22"/>
        </w:rPr>
        <w:t xml:space="preserve">. To investigate inclusion bias, baseline characteristics of targeted studies not included in the analysis will be compared with the characteristics of the studies included in the analysis. </w:t>
      </w:r>
    </w:p>
    <w:p w14:paraId="62C7BDD6" w14:textId="6CBDEF97" w:rsidR="00CA6F34" w:rsidRPr="00DC1D6C" w:rsidRDefault="006D0D0D" w:rsidP="00DC1D6C">
      <w:pPr>
        <w:numPr>
          <w:ilvl w:val="0"/>
          <w:numId w:val="32"/>
        </w:numPr>
        <w:spacing w:before="100" w:beforeAutospacing="1" w:after="100" w:afterAutospacing="1" w:line="360" w:lineRule="auto"/>
        <w:contextualSpacing/>
        <w:jc w:val="both"/>
        <w:rPr>
          <w:rFonts w:ascii="Calibri Light" w:eastAsia="Calibri" w:hAnsi="Calibri Light" w:cs="Calibri Light"/>
          <w:color w:val="000000"/>
          <w:sz w:val="22"/>
          <w:szCs w:val="22"/>
        </w:rPr>
      </w:pPr>
      <w:r w:rsidRPr="00DC1D6C">
        <w:rPr>
          <w:rFonts w:ascii="Calibri Light" w:eastAsia="Calibri" w:hAnsi="Calibri Light" w:cs="Calibri Light"/>
          <w:color w:val="000000"/>
          <w:sz w:val="22"/>
          <w:szCs w:val="22"/>
        </w:rPr>
        <w:t>Data supplied for included RCTs will be checked for missing data; internal data consistency; follow</w:t>
      </w:r>
      <w:r w:rsidR="00114863">
        <w:rPr>
          <w:rFonts w:ascii="Calibri Light" w:eastAsia="Calibri" w:hAnsi="Calibri Light" w:cs="Calibri Light"/>
          <w:color w:val="000000"/>
          <w:sz w:val="22"/>
          <w:szCs w:val="22"/>
        </w:rPr>
        <w:t xml:space="preserve"> </w:t>
      </w:r>
      <w:r w:rsidRPr="00DC1D6C">
        <w:rPr>
          <w:rFonts w:ascii="Calibri Light" w:eastAsia="Calibri" w:hAnsi="Calibri Light" w:cs="Calibri Light"/>
          <w:color w:val="000000"/>
          <w:sz w:val="22"/>
          <w:szCs w:val="22"/>
        </w:rPr>
        <w:t xml:space="preserve">up and censoring pattern. </w:t>
      </w:r>
    </w:p>
    <w:p w14:paraId="2F005ACD" w14:textId="1D6CFC48" w:rsidR="00CA6F34" w:rsidRPr="00DC1D6C" w:rsidRDefault="006D0D0D" w:rsidP="00DC1D6C">
      <w:pPr>
        <w:numPr>
          <w:ilvl w:val="0"/>
          <w:numId w:val="32"/>
        </w:numPr>
        <w:spacing w:before="100" w:beforeAutospacing="1" w:after="100" w:afterAutospacing="1" w:line="360" w:lineRule="auto"/>
        <w:contextualSpacing/>
        <w:jc w:val="both"/>
        <w:rPr>
          <w:rFonts w:ascii="Calibri Light" w:eastAsia="Calibri" w:hAnsi="Calibri Light" w:cs="Calibri Light"/>
          <w:color w:val="000000"/>
          <w:sz w:val="22"/>
          <w:szCs w:val="22"/>
        </w:rPr>
      </w:pPr>
      <w:r w:rsidRPr="00DC1D6C">
        <w:rPr>
          <w:rFonts w:ascii="Calibri Light" w:eastAsia="Calibri" w:hAnsi="Calibri Light" w:cs="Calibri Light"/>
          <w:color w:val="000000"/>
          <w:sz w:val="22"/>
          <w:szCs w:val="22"/>
        </w:rPr>
        <w:t>Summary tables will be checked with the trial protocol and latest trial report or publication. Any discrepancies or unusual patterns will be checked with the study investigator. A final copy of the</w:t>
      </w:r>
      <w:r w:rsidR="00DC1D6C">
        <w:rPr>
          <w:rFonts w:ascii="Calibri Light" w:eastAsia="Calibri" w:hAnsi="Calibri Light" w:cs="Calibri Light"/>
          <w:color w:val="000000"/>
          <w:sz w:val="22"/>
          <w:szCs w:val="22"/>
        </w:rPr>
        <w:t xml:space="preserve"> </w:t>
      </w:r>
      <w:r w:rsidRPr="00DC1D6C">
        <w:rPr>
          <w:rFonts w:ascii="Calibri Light" w:eastAsia="Calibri" w:hAnsi="Calibri Light" w:cs="Calibri Light"/>
          <w:color w:val="000000"/>
          <w:sz w:val="22"/>
          <w:szCs w:val="22"/>
        </w:rPr>
        <w:t>form from each trial will be returned to the appropriate trial investigator for verification.</w:t>
      </w:r>
      <w:r w:rsidR="00E47C8B" w:rsidRPr="00DC1D6C">
        <w:rPr>
          <w:rFonts w:ascii="Calibri Light" w:eastAsia="Calibri" w:hAnsi="Calibri Light" w:cs="Calibri Light"/>
          <w:color w:val="000000"/>
          <w:sz w:val="22"/>
          <w:szCs w:val="22"/>
        </w:rPr>
        <w:t xml:space="preserve"> </w:t>
      </w:r>
    </w:p>
    <w:p w14:paraId="3E99E208" w14:textId="0788331C" w:rsidR="00CA6F34" w:rsidRPr="00DC1D6C" w:rsidRDefault="006D0D0D" w:rsidP="00DC1D6C">
      <w:pPr>
        <w:numPr>
          <w:ilvl w:val="0"/>
          <w:numId w:val="32"/>
        </w:numPr>
        <w:spacing w:before="100" w:beforeAutospacing="1" w:after="100" w:afterAutospacing="1" w:line="360" w:lineRule="auto"/>
        <w:contextualSpacing/>
        <w:jc w:val="both"/>
        <w:rPr>
          <w:rFonts w:ascii="Calibri Light" w:eastAsia="Calibri" w:hAnsi="Calibri Light" w:cs="Calibri Light"/>
          <w:color w:val="000000"/>
          <w:sz w:val="22"/>
          <w:szCs w:val="22"/>
        </w:rPr>
      </w:pPr>
      <w:r w:rsidRPr="00DC1D6C">
        <w:rPr>
          <w:rFonts w:ascii="Calibri Light" w:eastAsia="Calibri" w:hAnsi="Calibri Light" w:cs="Calibri Light"/>
          <w:color w:val="000000"/>
          <w:sz w:val="22"/>
          <w:szCs w:val="22"/>
        </w:rPr>
        <w:t>A summary of included studies compared to potential studies will be presented to highlight</w:t>
      </w:r>
      <w:r w:rsidR="00DC1D6C">
        <w:rPr>
          <w:rFonts w:ascii="Calibri Light" w:eastAsia="Calibri" w:hAnsi="Calibri Light" w:cs="Calibri Light"/>
          <w:color w:val="000000"/>
          <w:sz w:val="22"/>
          <w:szCs w:val="22"/>
        </w:rPr>
        <w:t xml:space="preserve"> </w:t>
      </w:r>
      <w:r w:rsidRPr="00DC1D6C">
        <w:rPr>
          <w:rFonts w:ascii="Calibri Light" w:eastAsia="Calibri" w:hAnsi="Calibri Light" w:cs="Calibri Light"/>
          <w:color w:val="000000"/>
          <w:sz w:val="22"/>
          <w:szCs w:val="22"/>
        </w:rPr>
        <w:t>potential selection bias.</w:t>
      </w:r>
      <w:r w:rsidR="00BF7745" w:rsidRPr="00DC1D6C">
        <w:rPr>
          <w:rFonts w:ascii="Calibri Light" w:eastAsia="Calibri" w:hAnsi="Calibri Light" w:cs="Calibri Light"/>
          <w:color w:val="000000"/>
          <w:sz w:val="22"/>
          <w:szCs w:val="22"/>
        </w:rPr>
        <w:t xml:space="preserve"> </w:t>
      </w:r>
    </w:p>
    <w:p w14:paraId="65A14017" w14:textId="75797E03" w:rsidR="00CA6F34" w:rsidRPr="00DC1D6C" w:rsidRDefault="006D0D0D" w:rsidP="00DC1D6C">
      <w:pPr>
        <w:numPr>
          <w:ilvl w:val="0"/>
          <w:numId w:val="32"/>
        </w:numPr>
        <w:spacing w:before="100" w:beforeAutospacing="1" w:after="100" w:afterAutospacing="1" w:line="360" w:lineRule="auto"/>
        <w:contextualSpacing/>
        <w:jc w:val="both"/>
        <w:rPr>
          <w:rFonts w:ascii="Calibri Light" w:eastAsia="Calibri" w:hAnsi="Calibri Light" w:cs="Calibri Light"/>
          <w:color w:val="000000"/>
          <w:sz w:val="22"/>
          <w:szCs w:val="22"/>
        </w:rPr>
      </w:pPr>
      <w:r w:rsidRPr="00DC1D6C">
        <w:rPr>
          <w:rFonts w:ascii="Calibri Light" w:eastAsia="Calibri" w:hAnsi="Calibri Light" w:cs="Calibri Light"/>
          <w:color w:val="000000"/>
          <w:sz w:val="22"/>
          <w:szCs w:val="22"/>
        </w:rPr>
        <w:lastRenderedPageBreak/>
        <w:t>A summary of the included studies will be presented, including (but not restricted to) antimalarial treatment and description of location by country, transmission site(s), and regional relapse</w:t>
      </w:r>
      <w:r w:rsidR="00DC1D6C">
        <w:rPr>
          <w:rFonts w:ascii="Calibri Light" w:eastAsia="Calibri" w:hAnsi="Calibri Light" w:cs="Calibri Light"/>
          <w:color w:val="000000"/>
          <w:sz w:val="22"/>
          <w:szCs w:val="22"/>
        </w:rPr>
        <w:t xml:space="preserve"> </w:t>
      </w:r>
      <w:r w:rsidRPr="00DC1D6C">
        <w:rPr>
          <w:rFonts w:ascii="Calibri Light" w:eastAsia="Calibri" w:hAnsi="Calibri Light" w:cs="Calibri Light"/>
          <w:color w:val="000000"/>
          <w:sz w:val="22"/>
          <w:szCs w:val="22"/>
        </w:rPr>
        <w:t>periodicity.</w:t>
      </w:r>
      <w:r w:rsidR="00BF7745" w:rsidRPr="00DC1D6C">
        <w:rPr>
          <w:rFonts w:ascii="Calibri Light" w:eastAsia="Calibri" w:hAnsi="Calibri Light" w:cs="Calibri Light"/>
          <w:color w:val="000000"/>
          <w:sz w:val="22"/>
          <w:szCs w:val="22"/>
        </w:rPr>
        <w:t xml:space="preserve"> </w:t>
      </w:r>
    </w:p>
    <w:p w14:paraId="509B03B3" w14:textId="30812626" w:rsidR="00A00BED" w:rsidRPr="00DC1D6C" w:rsidRDefault="006D0D0D" w:rsidP="00DC1D6C">
      <w:pPr>
        <w:numPr>
          <w:ilvl w:val="0"/>
          <w:numId w:val="32"/>
        </w:numPr>
        <w:spacing w:before="100" w:beforeAutospacing="1" w:after="100" w:afterAutospacing="1" w:line="360" w:lineRule="auto"/>
        <w:contextualSpacing/>
        <w:jc w:val="both"/>
        <w:rPr>
          <w:rFonts w:ascii="Calibri Light" w:eastAsia="Calibri" w:hAnsi="Calibri Light" w:cs="Calibri Light"/>
          <w:color w:val="000000"/>
          <w:sz w:val="22"/>
          <w:szCs w:val="22"/>
        </w:rPr>
      </w:pPr>
      <w:r w:rsidRPr="00DC1D6C">
        <w:rPr>
          <w:rFonts w:ascii="Calibri Light" w:eastAsia="Calibri" w:hAnsi="Calibri Light" w:cs="Calibri Light"/>
          <w:color w:val="000000"/>
          <w:sz w:val="22"/>
          <w:szCs w:val="22"/>
        </w:rPr>
        <w:t>As part of the statistical analysis a sensitivity analysis will be undertaken to identify bias related to individual studies.</w:t>
      </w:r>
    </w:p>
    <w:p w14:paraId="6EC34687" w14:textId="77777777" w:rsidR="00457F3C" w:rsidRPr="003F41FF" w:rsidRDefault="00457F3C" w:rsidP="00AF7B28">
      <w:pPr>
        <w:pStyle w:val="Heading1"/>
        <w:spacing w:before="100" w:beforeAutospacing="1" w:after="100" w:afterAutospacing="1" w:line="360" w:lineRule="auto"/>
      </w:pPr>
      <w:bookmarkStart w:id="27" w:name="_Toc32336016"/>
      <w:r w:rsidRPr="003F41FF">
        <w:t>4. PRISMA Statement</w:t>
      </w:r>
      <w:bookmarkEnd w:id="25"/>
      <w:bookmarkEnd w:id="27"/>
    </w:p>
    <w:p w14:paraId="3C27DE78" w14:textId="379F183F" w:rsidR="00457F3C" w:rsidRPr="009E7116" w:rsidRDefault="0014183E" w:rsidP="00AF7B28">
      <w:pPr>
        <w:spacing w:before="100" w:beforeAutospacing="1" w:after="100" w:afterAutospacing="1" w:line="360" w:lineRule="auto"/>
        <w:ind w:left="284"/>
        <w:jc w:val="both"/>
        <w:rPr>
          <w:rFonts w:asciiTheme="majorHAnsi" w:hAnsiTheme="majorHAnsi" w:cstheme="majorHAnsi"/>
          <w:color w:val="000000" w:themeColor="text1"/>
          <w:sz w:val="22"/>
          <w:szCs w:val="22"/>
        </w:rPr>
      </w:pPr>
      <w:r w:rsidRPr="009E7116">
        <w:rPr>
          <w:rFonts w:asciiTheme="majorHAnsi" w:hAnsiTheme="majorHAnsi" w:cstheme="majorHAnsi"/>
          <w:color w:val="000000" w:themeColor="text1"/>
          <w:sz w:val="22"/>
          <w:szCs w:val="22"/>
        </w:rPr>
        <w:t>The analysis will adhere to the PRISMA guidelines for reporting systematic reviews and meta-analyses of individual patient data</w:t>
      </w:r>
      <w:r w:rsidR="003F4C7A" w:rsidRPr="009E7116">
        <w:rPr>
          <w:rFonts w:asciiTheme="majorHAnsi" w:hAnsiTheme="majorHAnsi" w:cstheme="majorHAnsi"/>
          <w:color w:val="000000" w:themeColor="text1"/>
          <w:sz w:val="22"/>
          <w:szCs w:val="22"/>
        </w:rPr>
        <w:fldChar w:fldCharType="begin" w:fldLock="1"/>
      </w:r>
      <w:r w:rsidR="00181283">
        <w:rPr>
          <w:rFonts w:asciiTheme="majorHAnsi" w:hAnsiTheme="majorHAnsi" w:cstheme="majorHAnsi"/>
          <w:color w:val="000000" w:themeColor="text1"/>
          <w:sz w:val="22"/>
          <w:szCs w:val="22"/>
        </w:rPr>
        <w:instrText>ADDIN CSL_CITATION {"citationItems":[{"id":"ITEM-1","itemData":{"DOI":"10.1001/jama.2015.3656","ISSN":"15383598","abstract":"IMPORTANCE Systematic reviews and meta-analyses of individual participant data (IPD) aim to collect, check, and reanalyze individual-level data from all studies addressing a particular research question and are therefore considered a gold standard approach to evidence synthesis. They are likely to be used with increasing frequency as current initiatives to share clinical trial data gain momentum and may be particularly important in reviewing controversial therapeutic areas. OBJECTIVE To develop PRISMA-IPD as a stand-alone extension to the PRISMA (Preferred Reporting Items for Systematic Reviews and Meta-Analyses) Statement, tailored to the specific requirements of reporting systematic reviews and meta-analyses of IPD. Although developed primarily for reviews of randomized trials, many items will apply in other contexts, including reviews of diagnosis and prognosis. DESIGN Development of PRISMA-IPD followed the EQUATOR Network framework guidance and used the existing standard PRISMA Statement as a starting point to draft additional relevant material. A web-based survey informed discussion at an international workshop that included researchers, clinicians, methodologists experienced in conducting systematic reviews and meta-analyses of IPD, and journal editors. The statement was drafted and iterative refinements were made by the project, advisory, and development groups. The PRISMA-IPD Development Group reached agreement on the PRISMA-IPD checklist and flow diagram by consensus. FINDINGS Compared with standard PRISMA, the PRISMA-IPD checklist includes 3 new items that address (1) methods of checking the integrity of the IPD (such as pattern of randomization, data consistency, baseline imbalance, and missing data), (2) reporting any important issues that emerge, and (3) exploring variation (such as whether certain types of individual benefit more from the intervention than others). A further additional item was created by reorganization of standard PRISMA items relating to interpreting results. Wording was modified in 23 items to reflect the IPD approach. CONCLUSIONS AND RELEVANCE PRISMA-IPD provides guidelines for reporting systematic reviews and meta-analyses of IPD.","author":[{"dropping-particle":"","family":"Stewart","given":"Lesley A.","non-dropping-particle":"","parse-names":false,"suffix":""},{"dropping-particle":"","family":"Clarke","given":"Mike","non-dropping-particle":"","parse-names":false,"suffix":""},{"dropping-particle":"","family":"Rovers","given":"Maroeska","non-dropping-particle":"","parse-names":false,"suffix":""},{"dropping-particle":"","family":"Riley","given":"Richard D.","non-dropping-particle":"","parse-names":false,"suffix":""},{"dropping-particle":"","family":"Simmonds","given":"Mark","non-dropping-particle":"","parse-names":false,"suffix":""},{"dropping-particle":"","family":"Stewart","given":"Gavin","non-dropping-particle":"","parse-names":false,"suffix":""},{"dropping-particle":"","family":"Tierney","given":"Jayne F.","non-dropping-particle":"","parse-names":false,"suffix":""}],"container-title":"JAMA - Journal of the American Medical Association","id":"ITEM-1","issued":{"date-parts":[["2015"]]},"title":"Preferred reporting items for a systematic review and meta-analysis of individual participant data: The PRISMA-IPD statement","type":"article"},"uris":["http://www.mendeley.com/documents/?uuid=67db281a-a3d1-498b-8f1f-de4d439977dd"]}],"mendeley":{"formattedCitation":"(14)","plainTextFormattedCitation":"(14)","previouslyFormattedCitation":"(14)"},"properties":{"noteIndex":0},"schema":"https://github.com/citation-style-language/schema/raw/master/csl-citation.json"}</w:instrText>
      </w:r>
      <w:r w:rsidR="003F4C7A" w:rsidRPr="009E7116">
        <w:rPr>
          <w:rFonts w:asciiTheme="majorHAnsi" w:hAnsiTheme="majorHAnsi" w:cstheme="majorHAnsi"/>
          <w:color w:val="000000" w:themeColor="text1"/>
          <w:sz w:val="22"/>
          <w:szCs w:val="22"/>
        </w:rPr>
        <w:fldChar w:fldCharType="separate"/>
      </w:r>
      <w:r w:rsidR="00A56D8C" w:rsidRPr="00A56D8C">
        <w:rPr>
          <w:rFonts w:asciiTheme="majorHAnsi" w:hAnsiTheme="majorHAnsi" w:cstheme="majorHAnsi"/>
          <w:noProof/>
          <w:color w:val="000000" w:themeColor="text1"/>
          <w:sz w:val="22"/>
          <w:szCs w:val="22"/>
        </w:rPr>
        <w:t>(14)</w:t>
      </w:r>
      <w:r w:rsidR="003F4C7A" w:rsidRPr="009E7116">
        <w:rPr>
          <w:rFonts w:asciiTheme="majorHAnsi" w:hAnsiTheme="majorHAnsi" w:cstheme="majorHAnsi"/>
          <w:color w:val="000000" w:themeColor="text1"/>
          <w:sz w:val="22"/>
          <w:szCs w:val="22"/>
        </w:rPr>
        <w:fldChar w:fldCharType="end"/>
      </w:r>
      <w:r w:rsidRPr="009E7116">
        <w:rPr>
          <w:rFonts w:asciiTheme="majorHAnsi" w:hAnsiTheme="majorHAnsi" w:cstheme="majorHAnsi"/>
          <w:color w:val="000000" w:themeColor="text1"/>
          <w:sz w:val="22"/>
          <w:szCs w:val="22"/>
        </w:rPr>
        <w:t>.</w:t>
      </w:r>
    </w:p>
    <w:p w14:paraId="608E7091" w14:textId="77777777" w:rsidR="00457F3C" w:rsidRPr="003F41FF" w:rsidRDefault="00457F3C" w:rsidP="00AF7B28">
      <w:pPr>
        <w:pStyle w:val="Heading1"/>
        <w:spacing w:before="100" w:beforeAutospacing="1" w:after="100" w:afterAutospacing="1" w:line="360" w:lineRule="auto"/>
      </w:pPr>
      <w:bookmarkStart w:id="28" w:name="_Toc457660160"/>
      <w:bookmarkStart w:id="29" w:name="_Toc32336017"/>
      <w:r w:rsidRPr="003F41FF">
        <w:t>5. Tools</w:t>
      </w:r>
      <w:bookmarkEnd w:id="28"/>
      <w:bookmarkEnd w:id="29"/>
      <w:r w:rsidRPr="003F41FF">
        <w:t xml:space="preserve"> </w:t>
      </w:r>
    </w:p>
    <w:p w14:paraId="23C36FE2" w14:textId="38A65986" w:rsidR="00457F3C" w:rsidRPr="009E7116" w:rsidRDefault="003F4C7A" w:rsidP="00640119">
      <w:pPr>
        <w:spacing w:before="100" w:beforeAutospacing="1" w:after="100" w:afterAutospacing="1" w:line="360" w:lineRule="auto"/>
        <w:ind w:left="284"/>
        <w:jc w:val="both"/>
        <w:rPr>
          <w:rFonts w:asciiTheme="majorHAnsi" w:hAnsiTheme="majorHAnsi" w:cstheme="majorHAnsi"/>
          <w:color w:val="000000" w:themeColor="text1"/>
          <w:sz w:val="22"/>
          <w:szCs w:val="22"/>
          <w:lang w:val="en-US"/>
        </w:rPr>
      </w:pPr>
      <w:r w:rsidRPr="009E7116">
        <w:rPr>
          <w:rFonts w:asciiTheme="majorHAnsi" w:hAnsiTheme="majorHAnsi" w:cstheme="majorHAnsi"/>
          <w:color w:val="000000" w:themeColor="text1"/>
          <w:sz w:val="22"/>
          <w:szCs w:val="22"/>
        </w:rPr>
        <w:t xml:space="preserve">All statistical analyses will be carried out using </w:t>
      </w:r>
      <w:r w:rsidR="004557E6" w:rsidRPr="009E7116">
        <w:rPr>
          <w:rFonts w:asciiTheme="majorHAnsi" w:hAnsiTheme="majorHAnsi" w:cstheme="majorHAnsi"/>
          <w:color w:val="000000" w:themeColor="text1"/>
          <w:sz w:val="22"/>
          <w:szCs w:val="22"/>
        </w:rPr>
        <w:t>R</w:t>
      </w:r>
      <w:r w:rsidRPr="009E7116">
        <w:rPr>
          <w:rFonts w:asciiTheme="majorHAnsi" w:hAnsiTheme="majorHAnsi" w:cstheme="majorHAnsi"/>
          <w:color w:val="000000" w:themeColor="text1"/>
          <w:sz w:val="22"/>
          <w:szCs w:val="22"/>
        </w:rPr>
        <w:t xml:space="preserve"> v</w:t>
      </w:r>
      <w:r w:rsidR="002435D8" w:rsidRPr="009E7116">
        <w:rPr>
          <w:rFonts w:asciiTheme="majorHAnsi" w:hAnsiTheme="majorHAnsi" w:cstheme="majorHAnsi"/>
          <w:color w:val="000000" w:themeColor="text1"/>
          <w:sz w:val="22"/>
          <w:szCs w:val="22"/>
        </w:rPr>
        <w:t>ersion 3.6.0.</w:t>
      </w:r>
      <w:r w:rsidRPr="009E7116">
        <w:rPr>
          <w:rFonts w:asciiTheme="majorHAnsi" w:hAnsiTheme="majorHAnsi" w:cstheme="majorHAnsi"/>
          <w:color w:val="000000" w:themeColor="text1"/>
          <w:sz w:val="22"/>
          <w:szCs w:val="22"/>
        </w:rPr>
        <w:t xml:space="preserve"> </w:t>
      </w:r>
    </w:p>
    <w:p w14:paraId="1BA7EF5F" w14:textId="77777777" w:rsidR="00457F3C" w:rsidRPr="003F41FF" w:rsidRDefault="00457F3C" w:rsidP="00AF7B28">
      <w:pPr>
        <w:pStyle w:val="Heading1"/>
        <w:keepLines w:val="0"/>
        <w:spacing w:before="100" w:beforeAutospacing="1" w:after="100" w:afterAutospacing="1" w:line="360" w:lineRule="auto"/>
      </w:pPr>
      <w:bookmarkStart w:id="30" w:name="_Toc457660161"/>
      <w:bookmarkStart w:id="31" w:name="_Toc32336018"/>
      <w:r w:rsidRPr="003F41FF">
        <w:t>6. Study Group Governance, Management, Coordination and Publication Policy</w:t>
      </w:r>
      <w:bookmarkEnd w:id="30"/>
      <w:bookmarkEnd w:id="31"/>
    </w:p>
    <w:p w14:paraId="38569CAA" w14:textId="2CD32D0A" w:rsidR="00457F3C" w:rsidRPr="009E7116" w:rsidRDefault="002D1EDE" w:rsidP="00640119">
      <w:pPr>
        <w:widowControl w:val="0"/>
        <w:tabs>
          <w:tab w:val="left" w:pos="220"/>
          <w:tab w:val="left" w:pos="720"/>
        </w:tabs>
        <w:autoSpaceDE w:val="0"/>
        <w:autoSpaceDN w:val="0"/>
        <w:adjustRightInd w:val="0"/>
        <w:spacing w:before="100" w:beforeAutospacing="1" w:after="100" w:afterAutospacing="1" w:line="360" w:lineRule="auto"/>
        <w:jc w:val="both"/>
        <w:rPr>
          <w:rFonts w:asciiTheme="majorHAnsi" w:hAnsiTheme="majorHAnsi" w:cstheme="majorHAnsi"/>
          <w:color w:val="000000" w:themeColor="text1"/>
          <w:sz w:val="22"/>
          <w:szCs w:val="22"/>
          <w:lang w:val="en-US"/>
        </w:rPr>
      </w:pPr>
      <w:r w:rsidRPr="009E7116">
        <w:rPr>
          <w:rFonts w:asciiTheme="majorHAnsi" w:hAnsiTheme="majorHAnsi" w:cstheme="majorHAnsi"/>
          <w:color w:val="000000" w:themeColor="text1"/>
          <w:sz w:val="22"/>
          <w:szCs w:val="22"/>
        </w:rPr>
        <w:t xml:space="preserve">The </w:t>
      </w:r>
      <w:r w:rsidRPr="009E7116">
        <w:rPr>
          <w:rFonts w:asciiTheme="majorHAnsi" w:hAnsiTheme="majorHAnsi" w:cstheme="majorHAnsi"/>
          <w:b/>
          <w:color w:val="000000" w:themeColor="text1"/>
          <w:sz w:val="22"/>
          <w:szCs w:val="22"/>
        </w:rPr>
        <w:t xml:space="preserve">Vivax Adherence Study Group </w:t>
      </w:r>
      <w:r w:rsidRPr="009E7116">
        <w:rPr>
          <w:rFonts w:asciiTheme="majorHAnsi" w:hAnsiTheme="majorHAnsi" w:cstheme="majorHAnsi"/>
          <w:color w:val="000000" w:themeColor="text1"/>
          <w:sz w:val="22"/>
          <w:szCs w:val="22"/>
        </w:rPr>
        <w:t xml:space="preserve">comprises participating investigators who contribute relevant data sets to the pooled analysis. Data sets will remain the property of the investigator and will not be shared without their consent. Parinaz Mehdipour, Professor Julie Simpson, Dr Saber Dini, </w:t>
      </w:r>
      <w:r w:rsidR="000946DF" w:rsidRPr="009E7116">
        <w:rPr>
          <w:rFonts w:asciiTheme="majorHAnsi" w:hAnsiTheme="majorHAnsi" w:cstheme="majorHAnsi"/>
          <w:color w:val="000000" w:themeColor="text1"/>
          <w:sz w:val="22"/>
          <w:szCs w:val="22"/>
        </w:rPr>
        <w:t xml:space="preserve">Dr Sophie </w:t>
      </w:r>
      <w:proofErr w:type="spellStart"/>
      <w:r w:rsidR="000946DF" w:rsidRPr="009E7116">
        <w:rPr>
          <w:rFonts w:asciiTheme="majorHAnsi" w:hAnsiTheme="majorHAnsi" w:cstheme="majorHAnsi"/>
          <w:color w:val="000000" w:themeColor="text1"/>
          <w:sz w:val="22"/>
          <w:szCs w:val="22"/>
        </w:rPr>
        <w:t>Zaloumis</w:t>
      </w:r>
      <w:proofErr w:type="spellEnd"/>
      <w:r w:rsidR="000946DF" w:rsidRPr="009E7116">
        <w:rPr>
          <w:rFonts w:asciiTheme="majorHAnsi" w:hAnsiTheme="majorHAnsi" w:cstheme="majorHAnsi"/>
          <w:color w:val="000000" w:themeColor="text1"/>
          <w:sz w:val="22"/>
          <w:szCs w:val="22"/>
        </w:rPr>
        <w:t xml:space="preserve">, </w:t>
      </w:r>
      <w:r w:rsidR="000A0258" w:rsidRPr="009E7116">
        <w:rPr>
          <w:rFonts w:asciiTheme="majorHAnsi" w:hAnsiTheme="majorHAnsi" w:cstheme="majorHAnsi"/>
          <w:color w:val="000000" w:themeColor="text1"/>
          <w:sz w:val="22"/>
          <w:szCs w:val="22"/>
        </w:rPr>
        <w:t xml:space="preserve">Dr </w:t>
      </w:r>
      <w:r w:rsidRPr="009E7116">
        <w:rPr>
          <w:rFonts w:asciiTheme="majorHAnsi" w:hAnsiTheme="majorHAnsi" w:cstheme="majorHAnsi"/>
          <w:color w:val="000000" w:themeColor="text1"/>
          <w:sz w:val="22"/>
          <w:szCs w:val="22"/>
        </w:rPr>
        <w:t>Rob</w:t>
      </w:r>
      <w:r w:rsidR="000A0258" w:rsidRPr="009E7116">
        <w:rPr>
          <w:rFonts w:asciiTheme="majorHAnsi" w:hAnsiTheme="majorHAnsi" w:cstheme="majorHAnsi"/>
          <w:color w:val="000000" w:themeColor="text1"/>
          <w:sz w:val="22"/>
          <w:szCs w:val="22"/>
        </w:rPr>
        <w:t>ert</w:t>
      </w:r>
      <w:r w:rsidRPr="009E7116">
        <w:rPr>
          <w:rFonts w:asciiTheme="majorHAnsi" w:hAnsiTheme="majorHAnsi" w:cstheme="majorHAnsi"/>
          <w:color w:val="000000" w:themeColor="text1"/>
          <w:sz w:val="22"/>
          <w:szCs w:val="22"/>
        </w:rPr>
        <w:t xml:space="preserve"> Commons and the WWARN statistician(s) will oversee the statistical analyses. The Study Group collectively makes decisions with respect to including additional </w:t>
      </w:r>
      <w:proofErr w:type="gramStart"/>
      <w:r w:rsidRPr="009E7116">
        <w:rPr>
          <w:rFonts w:asciiTheme="majorHAnsi" w:hAnsiTheme="majorHAnsi" w:cstheme="majorHAnsi"/>
          <w:color w:val="000000" w:themeColor="text1"/>
          <w:sz w:val="22"/>
          <w:szCs w:val="22"/>
        </w:rPr>
        <w:t>studies, and</w:t>
      </w:r>
      <w:proofErr w:type="gramEnd"/>
      <w:r w:rsidRPr="009E7116">
        <w:rPr>
          <w:rFonts w:asciiTheme="majorHAnsi" w:hAnsiTheme="majorHAnsi" w:cstheme="majorHAnsi"/>
          <w:color w:val="000000" w:themeColor="text1"/>
          <w:sz w:val="22"/>
          <w:szCs w:val="22"/>
        </w:rPr>
        <w:t xml:space="preserve"> plans for publication. Participating investigators will be recognized in publication as contributors under the banner of the </w:t>
      </w:r>
      <w:r w:rsidRPr="009E7116">
        <w:rPr>
          <w:rFonts w:asciiTheme="majorHAnsi" w:hAnsiTheme="majorHAnsi" w:cstheme="majorHAnsi"/>
          <w:b/>
          <w:color w:val="000000" w:themeColor="text1"/>
          <w:sz w:val="22"/>
          <w:szCs w:val="22"/>
        </w:rPr>
        <w:t>Vivax Adherence Study Group</w:t>
      </w:r>
      <w:r w:rsidRPr="009E7116">
        <w:rPr>
          <w:rFonts w:asciiTheme="majorHAnsi" w:hAnsiTheme="majorHAnsi" w:cstheme="majorHAnsi"/>
          <w:color w:val="000000" w:themeColor="text1"/>
          <w:sz w:val="22"/>
          <w:szCs w:val="22"/>
        </w:rPr>
        <w:t xml:space="preserve">. The Study Group will assign a Writing Committee to coordinate activities including data </w:t>
      </w:r>
      <w:proofErr w:type="gramStart"/>
      <w:r w:rsidRPr="009E7116">
        <w:rPr>
          <w:rFonts w:asciiTheme="majorHAnsi" w:hAnsiTheme="majorHAnsi" w:cstheme="majorHAnsi"/>
          <w:color w:val="000000" w:themeColor="text1"/>
          <w:sz w:val="22"/>
          <w:szCs w:val="22"/>
        </w:rPr>
        <w:t>analysis, and</w:t>
      </w:r>
      <w:proofErr w:type="gramEnd"/>
      <w:r w:rsidRPr="009E7116">
        <w:rPr>
          <w:rFonts w:asciiTheme="majorHAnsi" w:hAnsiTheme="majorHAnsi" w:cstheme="majorHAnsi"/>
          <w:color w:val="000000" w:themeColor="text1"/>
          <w:sz w:val="22"/>
          <w:szCs w:val="22"/>
        </w:rPr>
        <w:t xml:space="preserve"> drafting of publications and reports for complete group review. The Writing Committee will comprise a group of interested investigators undertaking the data analysis and preparation of the manuscript. Authors will be recognized according to the ICMJE guidelines and the </w:t>
      </w:r>
      <w:r w:rsidRPr="009E7116">
        <w:rPr>
          <w:rFonts w:asciiTheme="majorHAnsi" w:hAnsiTheme="majorHAnsi" w:cstheme="majorHAnsi"/>
          <w:sz w:val="22"/>
          <w:szCs w:val="22"/>
        </w:rPr>
        <w:t>WWARN publication policy</w:t>
      </w:r>
      <w:r w:rsidR="003672DA" w:rsidRPr="009E7116">
        <w:rPr>
          <w:rStyle w:val="Hyperlink"/>
          <w:rFonts w:asciiTheme="majorHAnsi" w:hAnsiTheme="majorHAnsi" w:cstheme="majorHAnsi"/>
          <w:color w:val="000000" w:themeColor="text1"/>
          <w:sz w:val="22"/>
          <w:szCs w:val="22"/>
        </w:rPr>
        <w:fldChar w:fldCharType="begin" w:fldLock="1"/>
      </w:r>
      <w:r w:rsidR="00181283">
        <w:rPr>
          <w:rStyle w:val="Hyperlink"/>
          <w:rFonts w:asciiTheme="majorHAnsi" w:hAnsiTheme="majorHAnsi" w:cstheme="majorHAnsi"/>
          <w:color w:val="000000" w:themeColor="text1"/>
          <w:sz w:val="22"/>
          <w:szCs w:val="22"/>
        </w:rPr>
        <w:instrText>ADDIN CSL_CITATION {"citationItems":[{"id":"ITEM-1","itemData":{"abstract":"WWARN respects the right of researchers and institutions who may wish to collaborate and share data with WWARN. This document, which should be read in conjunction with the WWARN Terms of (data) Submission (ToS), explains our Publication Policy, particularly regarding meta-analysis of data from the WWARN Data Repository. If you have a query please email the WWARN team at: info@wwarn.org. 1. Principle 1.1 WWARN has developed an ethical and legal framework to protect the rights of the data owners and contributors to the WWARN Data Repository and of those individuals and communities who are the subject of the research. The measures WWARN will take to secure an individual's data, how we ensure that the contributor retains control of the submitted data and its use, and how WWARN will use that data are all set out in the Terms of Submission. We require that every data contributor to WWARN accepts the Terms of Submission. 2. Contributors' rights to publish data contributed to WWARN 2.1 Data Contributors retain the right to publish data that they have contributed to WWARN. Such data may be published without consent from WWARN. 2.2 Contributors are asked to acknowledge use of specific WWARN analysis tools in any publication, for example the Parasite Clearance Estimator, using the form of words shown in Appendix 1a. 3. WWARN's rights to publish data contributed to WWARN 3.1 WWARN may use data in its Data Repository to produce several types of reports described below: 3.2 Study Reports 3.2.1 Data submitted to the WWARN Data Repository will be curated and analysed, and a full Study Report returned to the Contributor. The Study Report will contain standardised data, results, graphs and/or tables that the Contributor may use in publications without restriction. WWARN should be acknowledged if any outputs are reproduced in a publication, using the form of words shown on the WWARN website and as seen in Appendix1b. 3.3 Study Summaries (WWARN Explorer) 3.3.1 Following curation, Contributors will be asked to explicitly approve the presentation of a summary form of those data on the WWARN Explorer, an interactive visualisation tool. A","id":"ITEM-1","issued":{"date-parts":[["0"]]},"title":"WWARN Publication Policy","type":"report"},"uris":["http://www.mendeley.com/documents/?uuid=8ad09f7b-982b-3b3b-baff-77070b96ce13"]}],"mendeley":{"formattedCitation":"(15)","plainTextFormattedCitation":"(15)","previouslyFormattedCitation":"(15)"},"properties":{"noteIndex":0},"schema":"https://github.com/citation-style-language/schema/raw/master/csl-citation.json"}</w:instrText>
      </w:r>
      <w:r w:rsidR="003672DA" w:rsidRPr="009E7116">
        <w:rPr>
          <w:rStyle w:val="Hyperlink"/>
          <w:rFonts w:asciiTheme="majorHAnsi" w:hAnsiTheme="majorHAnsi" w:cstheme="majorHAnsi"/>
          <w:color w:val="000000" w:themeColor="text1"/>
          <w:sz w:val="22"/>
          <w:szCs w:val="22"/>
        </w:rPr>
        <w:fldChar w:fldCharType="separate"/>
      </w:r>
      <w:r w:rsidR="00A56D8C" w:rsidRPr="00A56D8C">
        <w:rPr>
          <w:rStyle w:val="Hyperlink"/>
          <w:rFonts w:asciiTheme="majorHAnsi" w:hAnsiTheme="majorHAnsi" w:cstheme="majorHAnsi"/>
          <w:noProof/>
          <w:color w:val="000000" w:themeColor="text1"/>
          <w:sz w:val="22"/>
          <w:szCs w:val="22"/>
          <w:u w:val="none"/>
        </w:rPr>
        <w:t>(15)</w:t>
      </w:r>
      <w:r w:rsidR="003672DA" w:rsidRPr="009E7116">
        <w:rPr>
          <w:rStyle w:val="Hyperlink"/>
          <w:rFonts w:asciiTheme="majorHAnsi" w:hAnsiTheme="majorHAnsi" w:cstheme="majorHAnsi"/>
          <w:color w:val="000000" w:themeColor="text1"/>
          <w:sz w:val="22"/>
          <w:szCs w:val="22"/>
        </w:rPr>
        <w:fldChar w:fldCharType="end"/>
      </w:r>
      <w:r w:rsidRPr="009E7116">
        <w:rPr>
          <w:rFonts w:asciiTheme="majorHAnsi" w:hAnsiTheme="majorHAnsi" w:cstheme="majorHAnsi"/>
          <w:color w:val="000000" w:themeColor="text1"/>
          <w:sz w:val="22"/>
          <w:szCs w:val="22"/>
        </w:rPr>
        <w:t>.</w:t>
      </w:r>
    </w:p>
    <w:p w14:paraId="6DC4E48C" w14:textId="4AC47AAD" w:rsidR="00457F3C" w:rsidRPr="009E7116" w:rsidRDefault="00F117AD" w:rsidP="009E7116">
      <w:pPr>
        <w:pStyle w:val="Heading1"/>
      </w:pPr>
      <w:r>
        <w:br w:type="page"/>
      </w:r>
      <w:bookmarkStart w:id="32" w:name="_Toc32336019"/>
      <w:r w:rsidR="00457F3C" w:rsidRPr="003F41FF">
        <w:lastRenderedPageBreak/>
        <w:t xml:space="preserve">7. </w:t>
      </w:r>
      <w:bookmarkStart w:id="33" w:name="_Toc457660162"/>
      <w:r w:rsidR="00457F3C" w:rsidRPr="003F41FF">
        <w:t>References</w:t>
      </w:r>
      <w:bookmarkEnd w:id="32"/>
      <w:bookmarkEnd w:id="33"/>
    </w:p>
    <w:p w14:paraId="298C1CEF" w14:textId="2D3E5415" w:rsidR="00181283" w:rsidRPr="00181283" w:rsidRDefault="00CE361E" w:rsidP="00A46193">
      <w:pPr>
        <w:widowControl w:val="0"/>
        <w:autoSpaceDE w:val="0"/>
        <w:autoSpaceDN w:val="0"/>
        <w:adjustRightInd w:val="0"/>
        <w:spacing w:before="100" w:after="100" w:line="360" w:lineRule="auto"/>
        <w:ind w:left="640" w:hanging="640"/>
        <w:jc w:val="both"/>
        <w:rPr>
          <w:rFonts w:ascii="Calibri Light" w:hAnsi="Calibri Light" w:cs="Calibri Light"/>
          <w:noProof/>
          <w:sz w:val="20"/>
          <w:lang w:val="en-US"/>
        </w:rPr>
      </w:pPr>
      <w:r w:rsidRPr="001069AD">
        <w:rPr>
          <w:rFonts w:asciiTheme="majorHAnsi" w:hAnsiTheme="majorHAnsi" w:cstheme="majorHAnsi"/>
          <w:sz w:val="20"/>
          <w:szCs w:val="20"/>
        </w:rPr>
        <w:fldChar w:fldCharType="begin" w:fldLock="1"/>
      </w:r>
      <w:r w:rsidRPr="001069AD">
        <w:rPr>
          <w:rFonts w:asciiTheme="majorHAnsi" w:hAnsiTheme="majorHAnsi" w:cstheme="majorHAnsi"/>
          <w:sz w:val="20"/>
          <w:szCs w:val="20"/>
        </w:rPr>
        <w:instrText xml:space="preserve">ADDIN Mendeley Bibliography CSL_BIBLIOGRAPHY </w:instrText>
      </w:r>
      <w:r w:rsidRPr="001069AD">
        <w:rPr>
          <w:rFonts w:asciiTheme="majorHAnsi" w:hAnsiTheme="majorHAnsi" w:cstheme="majorHAnsi"/>
          <w:sz w:val="20"/>
          <w:szCs w:val="20"/>
        </w:rPr>
        <w:fldChar w:fldCharType="separate"/>
      </w:r>
      <w:r w:rsidR="00181283" w:rsidRPr="00181283">
        <w:rPr>
          <w:rFonts w:ascii="Calibri Light" w:hAnsi="Calibri Light" w:cs="Calibri Light"/>
          <w:noProof/>
          <w:sz w:val="20"/>
          <w:lang w:val="en-US"/>
        </w:rPr>
        <w:t xml:space="preserve">1. </w:t>
      </w:r>
      <w:r w:rsidR="00181283" w:rsidRPr="00181283">
        <w:rPr>
          <w:rFonts w:ascii="Calibri Light" w:hAnsi="Calibri Light" w:cs="Calibri Light"/>
          <w:noProof/>
          <w:sz w:val="20"/>
          <w:lang w:val="en-US"/>
        </w:rPr>
        <w:tab/>
        <w:t>World malaria report 2019 [Internet]. [cited 2019 Dec 20]. Available from: https://www.who.int/publications-detail/world-malaria-report-2019</w:t>
      </w:r>
    </w:p>
    <w:p w14:paraId="7F3EC859" w14:textId="77777777" w:rsidR="00181283" w:rsidRPr="00181283" w:rsidRDefault="00181283" w:rsidP="00A46193">
      <w:pPr>
        <w:widowControl w:val="0"/>
        <w:autoSpaceDE w:val="0"/>
        <w:autoSpaceDN w:val="0"/>
        <w:adjustRightInd w:val="0"/>
        <w:spacing w:before="100" w:after="100" w:line="360" w:lineRule="auto"/>
        <w:ind w:left="640" w:hanging="640"/>
        <w:jc w:val="both"/>
        <w:rPr>
          <w:rFonts w:ascii="Calibri Light" w:hAnsi="Calibri Light" w:cs="Calibri Light"/>
          <w:noProof/>
          <w:sz w:val="20"/>
          <w:lang w:val="en-US"/>
        </w:rPr>
      </w:pPr>
      <w:r w:rsidRPr="00181283">
        <w:rPr>
          <w:rFonts w:ascii="Calibri Light" w:hAnsi="Calibri Light" w:cs="Calibri Light"/>
          <w:noProof/>
          <w:sz w:val="20"/>
          <w:lang w:val="en-US"/>
        </w:rPr>
        <w:t xml:space="preserve">2. </w:t>
      </w:r>
      <w:r w:rsidRPr="00181283">
        <w:rPr>
          <w:rFonts w:ascii="Calibri Light" w:hAnsi="Calibri Light" w:cs="Calibri Light"/>
          <w:noProof/>
          <w:sz w:val="20"/>
          <w:lang w:val="en-US"/>
        </w:rPr>
        <w:tab/>
        <w:t>Challenger JD, Bruxvoort K, Ghani AC, Okell LC. Assessing the impact of imperfect adherence to artemether-lumefantrine on malaria treatment outcomes using within-host modelling. Nat Commun [Internet]. 2017;8(1). Available from: http://dx.doi.org/10.1038/s41467-017-01352-3</w:t>
      </w:r>
    </w:p>
    <w:p w14:paraId="26990222" w14:textId="77777777" w:rsidR="00181283" w:rsidRPr="00181283" w:rsidRDefault="00181283" w:rsidP="00A46193">
      <w:pPr>
        <w:widowControl w:val="0"/>
        <w:autoSpaceDE w:val="0"/>
        <w:autoSpaceDN w:val="0"/>
        <w:adjustRightInd w:val="0"/>
        <w:spacing w:before="100" w:after="100" w:line="360" w:lineRule="auto"/>
        <w:ind w:left="640" w:hanging="640"/>
        <w:jc w:val="both"/>
        <w:rPr>
          <w:rFonts w:ascii="Calibri Light" w:hAnsi="Calibri Light" w:cs="Calibri Light"/>
          <w:noProof/>
          <w:sz w:val="20"/>
          <w:lang w:val="en-US"/>
        </w:rPr>
      </w:pPr>
      <w:r w:rsidRPr="00181283">
        <w:rPr>
          <w:rFonts w:ascii="Calibri Light" w:hAnsi="Calibri Light" w:cs="Calibri Light"/>
          <w:noProof/>
          <w:sz w:val="20"/>
          <w:lang w:val="en-US"/>
        </w:rPr>
        <w:t xml:space="preserve">3. </w:t>
      </w:r>
      <w:r w:rsidRPr="00181283">
        <w:rPr>
          <w:rFonts w:ascii="Calibri Light" w:hAnsi="Calibri Light" w:cs="Calibri Light"/>
          <w:noProof/>
          <w:sz w:val="20"/>
          <w:lang w:val="en-US"/>
        </w:rPr>
        <w:tab/>
        <w:t>Clinical Module: Data Management and Statistical Analysis Plan Version 1.2 Clinical Module WorldWide Antimalarial Resistance Network (WWARN) [Internet]. [cited 2019 Aug 27]. Available from: www.wwarn.org</w:t>
      </w:r>
    </w:p>
    <w:p w14:paraId="56F3994F" w14:textId="77777777" w:rsidR="00181283" w:rsidRPr="00181283" w:rsidRDefault="00181283" w:rsidP="00A46193">
      <w:pPr>
        <w:widowControl w:val="0"/>
        <w:autoSpaceDE w:val="0"/>
        <w:autoSpaceDN w:val="0"/>
        <w:adjustRightInd w:val="0"/>
        <w:spacing w:before="100" w:after="100" w:line="360" w:lineRule="auto"/>
        <w:ind w:left="640" w:hanging="640"/>
        <w:jc w:val="both"/>
        <w:rPr>
          <w:rFonts w:ascii="Calibri Light" w:hAnsi="Calibri Light" w:cs="Calibri Light"/>
          <w:noProof/>
          <w:sz w:val="20"/>
          <w:lang w:val="en-US"/>
        </w:rPr>
      </w:pPr>
      <w:r w:rsidRPr="00181283">
        <w:rPr>
          <w:rFonts w:ascii="Calibri Light" w:hAnsi="Calibri Light" w:cs="Calibri Light"/>
          <w:noProof/>
          <w:sz w:val="20"/>
          <w:lang w:val="en-US"/>
        </w:rPr>
        <w:t xml:space="preserve">4. </w:t>
      </w:r>
      <w:r w:rsidRPr="00181283">
        <w:rPr>
          <w:rFonts w:ascii="Calibri Light" w:hAnsi="Calibri Light" w:cs="Calibri Light"/>
          <w:noProof/>
          <w:sz w:val="20"/>
          <w:lang w:val="en-US"/>
        </w:rPr>
        <w:tab/>
        <w:t xml:space="preserve">Commons RJ, Simpson JA, Thriemer K, Humphreys GS, Abreha T, Alemu SG, et al. The effect of chloroquine dose and primaquine on Plasmodium vivax recurrence: a WorldWide Antimalarial Resistance Network systematic review and individual patient pooled meta-analysis. Lancet Infect Dis. 2018; </w:t>
      </w:r>
    </w:p>
    <w:p w14:paraId="5A4D4610" w14:textId="77777777" w:rsidR="00181283" w:rsidRPr="00181283" w:rsidRDefault="00181283" w:rsidP="00A46193">
      <w:pPr>
        <w:widowControl w:val="0"/>
        <w:autoSpaceDE w:val="0"/>
        <w:autoSpaceDN w:val="0"/>
        <w:adjustRightInd w:val="0"/>
        <w:spacing w:before="100" w:after="100" w:line="360" w:lineRule="auto"/>
        <w:ind w:left="640" w:hanging="640"/>
        <w:jc w:val="both"/>
        <w:rPr>
          <w:rFonts w:ascii="Calibri Light" w:hAnsi="Calibri Light" w:cs="Calibri Light"/>
          <w:noProof/>
          <w:sz w:val="20"/>
          <w:lang w:val="en-US"/>
        </w:rPr>
      </w:pPr>
      <w:r w:rsidRPr="00181283">
        <w:rPr>
          <w:rFonts w:ascii="Calibri Light" w:hAnsi="Calibri Light" w:cs="Calibri Light"/>
          <w:noProof/>
          <w:sz w:val="20"/>
          <w:lang w:val="en-US"/>
        </w:rPr>
        <w:t xml:space="preserve">5. </w:t>
      </w:r>
      <w:r w:rsidRPr="00181283">
        <w:rPr>
          <w:rFonts w:ascii="Calibri Light" w:hAnsi="Calibri Light" w:cs="Calibri Light"/>
          <w:noProof/>
          <w:sz w:val="20"/>
          <w:lang w:val="en-US"/>
        </w:rPr>
        <w:tab/>
        <w:t xml:space="preserve">White NJ. Determinants of relapse periodicity in Plasmodium vivax malaria. Malaria Journal. 2011. </w:t>
      </w:r>
    </w:p>
    <w:p w14:paraId="6185AFE6" w14:textId="77777777" w:rsidR="00181283" w:rsidRPr="00181283" w:rsidRDefault="00181283" w:rsidP="00A46193">
      <w:pPr>
        <w:widowControl w:val="0"/>
        <w:autoSpaceDE w:val="0"/>
        <w:autoSpaceDN w:val="0"/>
        <w:adjustRightInd w:val="0"/>
        <w:spacing w:before="100" w:after="100" w:line="360" w:lineRule="auto"/>
        <w:ind w:left="640" w:hanging="640"/>
        <w:jc w:val="both"/>
        <w:rPr>
          <w:rFonts w:ascii="Calibri Light" w:hAnsi="Calibri Light" w:cs="Calibri Light"/>
          <w:noProof/>
          <w:sz w:val="20"/>
          <w:lang w:val="en-US"/>
        </w:rPr>
      </w:pPr>
      <w:r w:rsidRPr="00181283">
        <w:rPr>
          <w:rFonts w:ascii="Calibri Light" w:hAnsi="Calibri Light" w:cs="Calibri Light"/>
          <w:noProof/>
          <w:sz w:val="20"/>
          <w:lang w:val="en-US"/>
        </w:rPr>
        <w:t xml:space="preserve">6. </w:t>
      </w:r>
      <w:r w:rsidRPr="00181283">
        <w:rPr>
          <w:rFonts w:ascii="Calibri Light" w:hAnsi="Calibri Light" w:cs="Calibri Light"/>
          <w:noProof/>
          <w:sz w:val="20"/>
          <w:lang w:val="en-US"/>
        </w:rPr>
        <w:tab/>
        <w:t xml:space="preserve">Gething PW, Elyazar IRF, Moyes CL, Smith DL, Battle KE, Guerra CA, et al. A Long Neglected World Malaria Map: Plasmodium vivax Endemicity in 2010. PLoS Negl Trop Dis. 2012; </w:t>
      </w:r>
    </w:p>
    <w:p w14:paraId="60B9ED75" w14:textId="77777777" w:rsidR="00181283" w:rsidRPr="00181283" w:rsidRDefault="00181283" w:rsidP="00A46193">
      <w:pPr>
        <w:widowControl w:val="0"/>
        <w:autoSpaceDE w:val="0"/>
        <w:autoSpaceDN w:val="0"/>
        <w:adjustRightInd w:val="0"/>
        <w:spacing w:before="100" w:after="100" w:line="360" w:lineRule="auto"/>
        <w:ind w:left="640" w:hanging="640"/>
        <w:jc w:val="both"/>
        <w:rPr>
          <w:rFonts w:ascii="Calibri Light" w:hAnsi="Calibri Light" w:cs="Calibri Light"/>
          <w:noProof/>
          <w:sz w:val="20"/>
          <w:lang w:val="en-US"/>
        </w:rPr>
      </w:pPr>
      <w:r w:rsidRPr="00181283">
        <w:rPr>
          <w:rFonts w:ascii="Calibri Light" w:hAnsi="Calibri Light" w:cs="Calibri Light"/>
          <w:noProof/>
          <w:sz w:val="20"/>
          <w:lang w:val="en-US"/>
        </w:rPr>
        <w:t xml:space="preserve">7. </w:t>
      </w:r>
      <w:r w:rsidRPr="00181283">
        <w:rPr>
          <w:rFonts w:ascii="Calibri Light" w:hAnsi="Calibri Light" w:cs="Calibri Light"/>
          <w:noProof/>
          <w:sz w:val="20"/>
          <w:lang w:val="en-US"/>
        </w:rPr>
        <w:tab/>
        <w:t xml:space="preserve">Battle KE, Karhunen MS, Bhatt S, Gething PW, Howes RE, Golding N, et al. Geographical variation in Plasmodium vivax relapse. Malar J. 2014; </w:t>
      </w:r>
    </w:p>
    <w:p w14:paraId="57D798B7" w14:textId="77777777" w:rsidR="00181283" w:rsidRPr="00181283" w:rsidRDefault="00181283" w:rsidP="00A46193">
      <w:pPr>
        <w:widowControl w:val="0"/>
        <w:autoSpaceDE w:val="0"/>
        <w:autoSpaceDN w:val="0"/>
        <w:adjustRightInd w:val="0"/>
        <w:spacing w:before="100" w:after="100" w:line="360" w:lineRule="auto"/>
        <w:ind w:left="640" w:hanging="640"/>
        <w:jc w:val="both"/>
        <w:rPr>
          <w:rFonts w:ascii="Calibri Light" w:hAnsi="Calibri Light" w:cs="Calibri Light"/>
          <w:noProof/>
          <w:sz w:val="20"/>
          <w:lang w:val="en-US"/>
        </w:rPr>
      </w:pPr>
      <w:r w:rsidRPr="00181283">
        <w:rPr>
          <w:rFonts w:ascii="Calibri Light" w:hAnsi="Calibri Light" w:cs="Calibri Light"/>
          <w:noProof/>
          <w:sz w:val="20"/>
          <w:lang w:val="en-US"/>
        </w:rPr>
        <w:t xml:space="preserve">8. </w:t>
      </w:r>
      <w:r w:rsidRPr="00181283">
        <w:rPr>
          <w:rFonts w:ascii="Calibri Light" w:hAnsi="Calibri Light" w:cs="Calibri Light"/>
          <w:noProof/>
          <w:sz w:val="20"/>
          <w:lang w:val="en-US"/>
        </w:rPr>
        <w:tab/>
        <w:t xml:space="preserve">Who. Child Growth Standards (2006) Methods and development: Length/height-for-age, weight-for-age, weight-for-length, weight-for-height and body mass index-for-age. World Heal Organ. 2006; </w:t>
      </w:r>
    </w:p>
    <w:p w14:paraId="050A7DF3" w14:textId="77777777" w:rsidR="00181283" w:rsidRPr="00181283" w:rsidRDefault="00181283" w:rsidP="00A46193">
      <w:pPr>
        <w:widowControl w:val="0"/>
        <w:autoSpaceDE w:val="0"/>
        <w:autoSpaceDN w:val="0"/>
        <w:adjustRightInd w:val="0"/>
        <w:spacing w:before="100" w:after="100" w:line="360" w:lineRule="auto"/>
        <w:ind w:left="640" w:hanging="640"/>
        <w:jc w:val="both"/>
        <w:rPr>
          <w:rFonts w:ascii="Calibri Light" w:hAnsi="Calibri Light" w:cs="Calibri Light"/>
          <w:noProof/>
          <w:sz w:val="20"/>
          <w:lang w:val="en-US"/>
        </w:rPr>
      </w:pPr>
      <w:r w:rsidRPr="00181283">
        <w:rPr>
          <w:rFonts w:ascii="Calibri Light" w:hAnsi="Calibri Light" w:cs="Calibri Light"/>
          <w:noProof/>
          <w:sz w:val="20"/>
          <w:lang w:val="en-US"/>
        </w:rPr>
        <w:t xml:space="preserve">9. </w:t>
      </w:r>
      <w:r w:rsidRPr="00181283">
        <w:rPr>
          <w:rFonts w:ascii="Calibri Light" w:hAnsi="Calibri Light" w:cs="Calibri Light"/>
          <w:noProof/>
          <w:sz w:val="20"/>
          <w:lang w:val="en-US"/>
        </w:rPr>
        <w:tab/>
        <w:t xml:space="preserve">Lee SJ, Stepniewska K, Anstey N, Ashley E, Barnes K, Binh TQ, et al. The relationship between the haemoglobin concentration and the haematocrit in Plasmodium falciparum malaria. Malar J. 2008; </w:t>
      </w:r>
    </w:p>
    <w:p w14:paraId="7E8E821B" w14:textId="77777777" w:rsidR="00181283" w:rsidRPr="00181283" w:rsidRDefault="00181283" w:rsidP="00A46193">
      <w:pPr>
        <w:widowControl w:val="0"/>
        <w:autoSpaceDE w:val="0"/>
        <w:autoSpaceDN w:val="0"/>
        <w:adjustRightInd w:val="0"/>
        <w:spacing w:before="100" w:after="100" w:line="360" w:lineRule="auto"/>
        <w:ind w:left="640" w:hanging="640"/>
        <w:jc w:val="both"/>
        <w:rPr>
          <w:rFonts w:ascii="Calibri Light" w:hAnsi="Calibri Light" w:cs="Calibri Light"/>
          <w:noProof/>
          <w:sz w:val="20"/>
          <w:lang w:val="en-US"/>
        </w:rPr>
      </w:pPr>
      <w:r w:rsidRPr="00181283">
        <w:rPr>
          <w:rFonts w:ascii="Calibri Light" w:hAnsi="Calibri Light" w:cs="Calibri Light"/>
          <w:noProof/>
          <w:sz w:val="20"/>
          <w:lang w:val="en-US"/>
        </w:rPr>
        <w:t xml:space="preserve">10. </w:t>
      </w:r>
      <w:r w:rsidRPr="00181283">
        <w:rPr>
          <w:rFonts w:ascii="Calibri Light" w:hAnsi="Calibri Light" w:cs="Calibri Light"/>
          <w:noProof/>
          <w:sz w:val="20"/>
          <w:lang w:val="en-US"/>
        </w:rPr>
        <w:tab/>
        <w:t xml:space="preserve">World Health Organization. Guidelines For The Treatment of Malaria - 3rd edition. www.who.int/malaria. 2015; </w:t>
      </w:r>
    </w:p>
    <w:p w14:paraId="3C2233CE" w14:textId="77777777" w:rsidR="00181283" w:rsidRPr="00181283" w:rsidRDefault="00181283" w:rsidP="00A46193">
      <w:pPr>
        <w:widowControl w:val="0"/>
        <w:autoSpaceDE w:val="0"/>
        <w:autoSpaceDN w:val="0"/>
        <w:adjustRightInd w:val="0"/>
        <w:spacing w:before="100" w:after="100" w:line="360" w:lineRule="auto"/>
        <w:ind w:left="640" w:hanging="640"/>
        <w:jc w:val="both"/>
        <w:rPr>
          <w:rFonts w:ascii="Calibri Light" w:hAnsi="Calibri Light" w:cs="Calibri Light"/>
          <w:noProof/>
          <w:sz w:val="20"/>
          <w:lang w:val="en-US"/>
        </w:rPr>
      </w:pPr>
      <w:r w:rsidRPr="00181283">
        <w:rPr>
          <w:rFonts w:ascii="Calibri Light" w:hAnsi="Calibri Light" w:cs="Calibri Light"/>
          <w:noProof/>
          <w:sz w:val="20"/>
          <w:lang w:val="en-US"/>
        </w:rPr>
        <w:t xml:space="preserve">11. </w:t>
      </w:r>
      <w:r w:rsidRPr="00181283">
        <w:rPr>
          <w:rFonts w:ascii="Calibri Light" w:hAnsi="Calibri Light" w:cs="Calibri Light"/>
          <w:noProof/>
          <w:sz w:val="20"/>
          <w:lang w:val="en-US"/>
        </w:rPr>
        <w:tab/>
        <w:t xml:space="preserve">Therneau TM, Grambsch PM. Modeling Survival DAta. In: Modeling Survival Data: Extending the Cox Model. Springer US; 2000. p. 231–59. </w:t>
      </w:r>
    </w:p>
    <w:p w14:paraId="072A3231" w14:textId="77777777" w:rsidR="00181283" w:rsidRPr="00181283" w:rsidRDefault="00181283" w:rsidP="00A46193">
      <w:pPr>
        <w:widowControl w:val="0"/>
        <w:autoSpaceDE w:val="0"/>
        <w:autoSpaceDN w:val="0"/>
        <w:adjustRightInd w:val="0"/>
        <w:spacing w:before="100" w:after="100" w:line="360" w:lineRule="auto"/>
        <w:ind w:left="640" w:hanging="640"/>
        <w:jc w:val="both"/>
        <w:rPr>
          <w:rFonts w:ascii="Calibri Light" w:hAnsi="Calibri Light" w:cs="Calibri Light"/>
          <w:noProof/>
          <w:sz w:val="20"/>
          <w:lang w:val="en-US"/>
        </w:rPr>
      </w:pPr>
      <w:r w:rsidRPr="00181283">
        <w:rPr>
          <w:rFonts w:ascii="Calibri Light" w:hAnsi="Calibri Light" w:cs="Calibri Light"/>
          <w:noProof/>
          <w:sz w:val="20"/>
          <w:lang w:val="en-US"/>
        </w:rPr>
        <w:t xml:space="preserve">12. </w:t>
      </w:r>
      <w:r w:rsidRPr="00181283">
        <w:rPr>
          <w:rFonts w:ascii="Calibri Light" w:hAnsi="Calibri Light" w:cs="Calibri Light"/>
          <w:noProof/>
          <w:sz w:val="20"/>
          <w:lang w:val="en-US"/>
        </w:rPr>
        <w:tab/>
        <w:t xml:space="preserve">Wienke A. Frailty models in survival analysis. Frailty Models in Survival Analysis. 2010. </w:t>
      </w:r>
    </w:p>
    <w:p w14:paraId="78D438CC" w14:textId="77777777" w:rsidR="00181283" w:rsidRPr="00181283" w:rsidRDefault="00181283" w:rsidP="00A46193">
      <w:pPr>
        <w:widowControl w:val="0"/>
        <w:autoSpaceDE w:val="0"/>
        <w:autoSpaceDN w:val="0"/>
        <w:adjustRightInd w:val="0"/>
        <w:spacing w:before="100" w:after="100" w:line="360" w:lineRule="auto"/>
        <w:ind w:left="640" w:hanging="640"/>
        <w:jc w:val="both"/>
        <w:rPr>
          <w:rFonts w:ascii="Calibri Light" w:hAnsi="Calibri Light" w:cs="Calibri Light"/>
          <w:noProof/>
          <w:sz w:val="20"/>
          <w:lang w:val="en-US"/>
        </w:rPr>
      </w:pPr>
      <w:r w:rsidRPr="00181283">
        <w:rPr>
          <w:rFonts w:ascii="Calibri Light" w:hAnsi="Calibri Light" w:cs="Calibri Light"/>
          <w:noProof/>
          <w:sz w:val="20"/>
          <w:lang w:val="en-US"/>
        </w:rPr>
        <w:t xml:space="preserve">13. </w:t>
      </w:r>
      <w:r w:rsidRPr="00181283">
        <w:rPr>
          <w:rFonts w:ascii="Calibri Light" w:hAnsi="Calibri Light" w:cs="Calibri Light"/>
          <w:noProof/>
          <w:sz w:val="20"/>
          <w:lang w:val="en-US"/>
        </w:rPr>
        <w:tab/>
        <w:t xml:space="preserve">Tierney JF, Vale C, Riley R, Smith CT, Stewart L, Clarke M, et al. Individual participant data (IPD) metaanalyses of randomised controlled trials: Uidance on their use. PLoS Med. 2015; </w:t>
      </w:r>
    </w:p>
    <w:p w14:paraId="0093D064" w14:textId="77777777" w:rsidR="00181283" w:rsidRPr="00181283" w:rsidRDefault="00181283" w:rsidP="00A46193">
      <w:pPr>
        <w:widowControl w:val="0"/>
        <w:autoSpaceDE w:val="0"/>
        <w:autoSpaceDN w:val="0"/>
        <w:adjustRightInd w:val="0"/>
        <w:spacing w:before="100" w:after="100" w:line="360" w:lineRule="auto"/>
        <w:ind w:left="640" w:hanging="640"/>
        <w:jc w:val="both"/>
        <w:rPr>
          <w:rFonts w:ascii="Calibri Light" w:hAnsi="Calibri Light" w:cs="Calibri Light"/>
          <w:noProof/>
          <w:sz w:val="20"/>
          <w:lang w:val="en-US"/>
        </w:rPr>
      </w:pPr>
      <w:r w:rsidRPr="00181283">
        <w:rPr>
          <w:rFonts w:ascii="Calibri Light" w:hAnsi="Calibri Light" w:cs="Calibri Light"/>
          <w:noProof/>
          <w:sz w:val="20"/>
          <w:lang w:val="en-US"/>
        </w:rPr>
        <w:t xml:space="preserve">14. </w:t>
      </w:r>
      <w:r w:rsidRPr="00181283">
        <w:rPr>
          <w:rFonts w:ascii="Calibri Light" w:hAnsi="Calibri Light" w:cs="Calibri Light"/>
          <w:noProof/>
          <w:sz w:val="20"/>
          <w:lang w:val="en-US"/>
        </w:rPr>
        <w:tab/>
        <w:t xml:space="preserve">Stewart LA, Clarke M, Rovers M, Riley RD, Simmonds M, Stewart G, et al. Preferred reporting items for a systematic review and meta-analysis of individual participant data: The PRISMA-IPD statement. JAMA - Journal of the American Medical Association. 2015. </w:t>
      </w:r>
    </w:p>
    <w:p w14:paraId="41AE3D8E" w14:textId="77777777" w:rsidR="00181283" w:rsidRPr="00181283" w:rsidRDefault="00181283" w:rsidP="00A46193">
      <w:pPr>
        <w:widowControl w:val="0"/>
        <w:autoSpaceDE w:val="0"/>
        <w:autoSpaceDN w:val="0"/>
        <w:adjustRightInd w:val="0"/>
        <w:spacing w:before="100" w:after="100" w:line="360" w:lineRule="auto"/>
        <w:ind w:left="640" w:hanging="640"/>
        <w:jc w:val="both"/>
        <w:rPr>
          <w:rFonts w:ascii="Calibri Light" w:hAnsi="Calibri Light" w:cs="Calibri Light"/>
          <w:noProof/>
          <w:sz w:val="20"/>
        </w:rPr>
      </w:pPr>
      <w:r w:rsidRPr="00181283">
        <w:rPr>
          <w:rFonts w:ascii="Calibri Light" w:hAnsi="Calibri Light" w:cs="Calibri Light"/>
          <w:noProof/>
          <w:sz w:val="20"/>
          <w:lang w:val="en-US"/>
        </w:rPr>
        <w:t xml:space="preserve">15. </w:t>
      </w:r>
      <w:r w:rsidRPr="00181283">
        <w:rPr>
          <w:rFonts w:ascii="Calibri Light" w:hAnsi="Calibri Light" w:cs="Calibri Light"/>
          <w:noProof/>
          <w:sz w:val="20"/>
          <w:lang w:val="en-US"/>
        </w:rPr>
        <w:tab/>
        <w:t>WWARN Publication Policy [Internet]. [cited 2019 Aug 27]. Available from: https://www.wwarn.org/sites/default/files/attachments/documents/wwarn_publication_policy.pdf</w:t>
      </w:r>
    </w:p>
    <w:p w14:paraId="0AD25DA1" w14:textId="547C5763" w:rsidR="00C91285" w:rsidRDefault="00CE361E" w:rsidP="00A46193">
      <w:pPr>
        <w:widowControl w:val="0"/>
        <w:autoSpaceDE w:val="0"/>
        <w:autoSpaceDN w:val="0"/>
        <w:adjustRightInd w:val="0"/>
        <w:spacing w:before="100" w:after="100" w:line="360" w:lineRule="auto"/>
        <w:jc w:val="both"/>
      </w:pPr>
      <w:r w:rsidRPr="001069AD">
        <w:rPr>
          <w:rFonts w:asciiTheme="majorHAnsi" w:hAnsiTheme="majorHAnsi" w:cstheme="majorHAnsi"/>
          <w:sz w:val="20"/>
          <w:szCs w:val="20"/>
        </w:rPr>
        <w:lastRenderedPageBreak/>
        <w:fldChar w:fldCharType="end"/>
      </w:r>
    </w:p>
    <w:sectPr w:rsidR="00C91285" w:rsidSect="001164E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FF4C" w14:textId="77777777" w:rsidR="000C6CC1" w:rsidRDefault="000C6CC1" w:rsidP="00E454A4">
      <w:r>
        <w:separator/>
      </w:r>
    </w:p>
  </w:endnote>
  <w:endnote w:type="continuationSeparator" w:id="0">
    <w:p w14:paraId="1861A7B1" w14:textId="77777777" w:rsidR="000C6CC1" w:rsidRDefault="000C6CC1" w:rsidP="00E4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0430" w14:textId="77777777" w:rsidR="00E454A4" w:rsidRPr="00A1154B" w:rsidRDefault="00E454A4">
    <w:pPr>
      <w:pStyle w:val="Footer"/>
      <w:tabs>
        <w:tab w:val="clear" w:pos="4680"/>
        <w:tab w:val="clear" w:pos="9360"/>
      </w:tabs>
      <w:jc w:val="center"/>
      <w:rPr>
        <w:rFonts w:asciiTheme="minorHAnsi" w:hAnsiTheme="minorHAnsi" w:cstheme="minorHAnsi"/>
        <w:b/>
        <w:bCs/>
        <w:caps/>
        <w:noProof/>
        <w:color w:val="000000" w:themeColor="text1"/>
        <w:sz w:val="20"/>
        <w:szCs w:val="20"/>
      </w:rPr>
    </w:pPr>
    <w:r w:rsidRPr="00A1154B">
      <w:rPr>
        <w:rFonts w:asciiTheme="minorHAnsi" w:hAnsiTheme="minorHAnsi" w:cstheme="minorHAnsi"/>
        <w:b/>
        <w:bCs/>
        <w:caps/>
        <w:color w:val="000000" w:themeColor="text1"/>
        <w:sz w:val="20"/>
        <w:szCs w:val="20"/>
      </w:rPr>
      <w:fldChar w:fldCharType="begin"/>
    </w:r>
    <w:r w:rsidRPr="00A1154B">
      <w:rPr>
        <w:rFonts w:asciiTheme="minorHAnsi" w:hAnsiTheme="minorHAnsi" w:cstheme="minorHAnsi"/>
        <w:b/>
        <w:bCs/>
        <w:caps/>
        <w:color w:val="000000" w:themeColor="text1"/>
        <w:sz w:val="20"/>
        <w:szCs w:val="20"/>
      </w:rPr>
      <w:instrText xml:space="preserve"> PAGE   \* MERGEFORMAT </w:instrText>
    </w:r>
    <w:r w:rsidRPr="00A1154B">
      <w:rPr>
        <w:rFonts w:asciiTheme="minorHAnsi" w:hAnsiTheme="minorHAnsi" w:cstheme="minorHAnsi"/>
        <w:b/>
        <w:bCs/>
        <w:caps/>
        <w:color w:val="000000" w:themeColor="text1"/>
        <w:sz w:val="20"/>
        <w:szCs w:val="20"/>
      </w:rPr>
      <w:fldChar w:fldCharType="separate"/>
    </w:r>
    <w:r w:rsidRPr="00A1154B">
      <w:rPr>
        <w:rFonts w:asciiTheme="minorHAnsi" w:hAnsiTheme="minorHAnsi" w:cstheme="minorHAnsi"/>
        <w:b/>
        <w:bCs/>
        <w:caps/>
        <w:noProof/>
        <w:color w:val="000000" w:themeColor="text1"/>
        <w:sz w:val="20"/>
        <w:szCs w:val="20"/>
      </w:rPr>
      <w:t>2</w:t>
    </w:r>
    <w:r w:rsidRPr="00A1154B">
      <w:rPr>
        <w:rFonts w:asciiTheme="minorHAnsi" w:hAnsiTheme="minorHAnsi" w:cstheme="minorHAnsi"/>
        <w:b/>
        <w:bCs/>
        <w:caps/>
        <w:noProof/>
        <w:color w:val="000000" w:themeColor="text1"/>
        <w:sz w:val="20"/>
        <w:szCs w:val="20"/>
      </w:rPr>
      <w:fldChar w:fldCharType="end"/>
    </w:r>
  </w:p>
  <w:p w14:paraId="5CB2FFD0" w14:textId="77777777" w:rsidR="00E454A4" w:rsidRDefault="00E45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5014" w14:textId="77777777" w:rsidR="000C6CC1" w:rsidRDefault="000C6CC1" w:rsidP="00E454A4">
      <w:r>
        <w:separator/>
      </w:r>
    </w:p>
  </w:footnote>
  <w:footnote w:type="continuationSeparator" w:id="0">
    <w:p w14:paraId="5446B10A" w14:textId="77777777" w:rsidR="000C6CC1" w:rsidRDefault="000C6CC1" w:rsidP="00E45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6BB"/>
    <w:multiLevelType w:val="hybridMultilevel"/>
    <w:tmpl w:val="05501F68"/>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cs="Courier New" w:hint="default"/>
      </w:rPr>
    </w:lvl>
    <w:lvl w:ilvl="2" w:tplc="04090005">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 w15:restartNumberingAfterBreak="0">
    <w:nsid w:val="09524016"/>
    <w:multiLevelType w:val="hybridMultilevel"/>
    <w:tmpl w:val="F3547B2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E6A38"/>
    <w:multiLevelType w:val="hybridMultilevel"/>
    <w:tmpl w:val="42E489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D086C"/>
    <w:multiLevelType w:val="hybridMultilevel"/>
    <w:tmpl w:val="E5B85030"/>
    <w:lvl w:ilvl="0" w:tplc="806ACE6E">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969B4"/>
    <w:multiLevelType w:val="multilevel"/>
    <w:tmpl w:val="D3224E3A"/>
    <w:lvl w:ilvl="0">
      <w:start w:val="1"/>
      <w:numFmt w:val="bullet"/>
      <w:lvlText w:val=""/>
      <w:lvlJc w:val="left"/>
      <w:pPr>
        <w:ind w:left="360" w:hanging="360"/>
      </w:pPr>
      <w:rPr>
        <w:rFonts w:ascii="Symbol" w:hAnsi="Symbol" w:hint="default"/>
      </w:rPr>
    </w:lvl>
    <w:lvl w:ilvl="1">
      <w:start w:val="5"/>
      <w:numFmt w:val="decimal"/>
      <w:lvlText w:val="%1.%2"/>
      <w:lvlJc w:val="left"/>
      <w:pPr>
        <w:ind w:left="460" w:hanging="4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BC0386"/>
    <w:multiLevelType w:val="hybridMultilevel"/>
    <w:tmpl w:val="890E7458"/>
    <w:lvl w:ilvl="0" w:tplc="F90248AE">
      <w:start w:val="2"/>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41F6F"/>
    <w:multiLevelType w:val="hybridMultilevel"/>
    <w:tmpl w:val="48E83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7E60FC"/>
    <w:multiLevelType w:val="hybridMultilevel"/>
    <w:tmpl w:val="8D149BE6"/>
    <w:lvl w:ilvl="0" w:tplc="ACE69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C327E"/>
    <w:multiLevelType w:val="hybridMultilevel"/>
    <w:tmpl w:val="75E69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ED6AA7"/>
    <w:multiLevelType w:val="multilevel"/>
    <w:tmpl w:val="BD8AFC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F65679"/>
    <w:multiLevelType w:val="hybridMultilevel"/>
    <w:tmpl w:val="90E0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8769DB"/>
    <w:multiLevelType w:val="hybridMultilevel"/>
    <w:tmpl w:val="89783510"/>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790313"/>
    <w:multiLevelType w:val="hybridMultilevel"/>
    <w:tmpl w:val="48C4D418"/>
    <w:lvl w:ilvl="0" w:tplc="BA5AA8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926D8"/>
    <w:multiLevelType w:val="hybridMultilevel"/>
    <w:tmpl w:val="E738FE3E"/>
    <w:lvl w:ilvl="0" w:tplc="EC38E53C">
      <w:start w:val="1"/>
      <w:numFmt w:val="decimal"/>
      <w:lvlText w:val="%1-"/>
      <w:lvlJc w:val="left"/>
      <w:pPr>
        <w:ind w:left="720" w:hanging="360"/>
      </w:pPr>
      <w:rPr>
        <w:rFonts w:hint="default"/>
      </w:rPr>
    </w:lvl>
    <w:lvl w:ilvl="1" w:tplc="54AA569C">
      <w:start w:val="1"/>
      <w:numFmt w:val="lowerLetter"/>
      <w:lvlText w:val="%2."/>
      <w:lvlJc w:val="left"/>
      <w:pPr>
        <w:ind w:left="1440" w:hanging="360"/>
      </w:pPr>
      <w:rPr>
        <w:rFonts w:asciiTheme="majorHAnsi" w:hAnsiTheme="majorHAnsi" w:cstheme="majorHAnsi" w:hint="default"/>
        <w:b w:val="0"/>
        <w:bCs w:val="0"/>
        <w:sz w:val="24"/>
        <w:szCs w:val="3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96419"/>
    <w:multiLevelType w:val="hybridMultilevel"/>
    <w:tmpl w:val="2C087522"/>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21FBA"/>
    <w:multiLevelType w:val="multilevel"/>
    <w:tmpl w:val="CEEEFE7A"/>
    <w:lvl w:ilvl="0">
      <w:start w:val="1"/>
      <w:numFmt w:val="bullet"/>
      <w:lvlText w:val=""/>
      <w:lvlJc w:val="left"/>
      <w:pPr>
        <w:ind w:left="360" w:hanging="360"/>
      </w:pPr>
      <w:rPr>
        <w:rFonts w:ascii="Symbol" w:hAnsi="Symbol" w:hint="default"/>
      </w:rPr>
    </w:lvl>
    <w:lvl w:ilvl="1">
      <w:start w:val="5"/>
      <w:numFmt w:val="decimal"/>
      <w:lvlText w:val="%1.%2"/>
      <w:lvlJc w:val="left"/>
      <w:pPr>
        <w:ind w:left="460" w:hanging="4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1E2730B"/>
    <w:multiLevelType w:val="hybridMultilevel"/>
    <w:tmpl w:val="26A01826"/>
    <w:lvl w:ilvl="0" w:tplc="9C6A167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35D4331E"/>
    <w:multiLevelType w:val="hybridMultilevel"/>
    <w:tmpl w:val="A00452FE"/>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F24FB"/>
    <w:multiLevelType w:val="hybridMultilevel"/>
    <w:tmpl w:val="CFC8AD9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9" w15:restartNumberingAfterBreak="0">
    <w:nsid w:val="393E3F7F"/>
    <w:multiLevelType w:val="hybridMultilevel"/>
    <w:tmpl w:val="468A7480"/>
    <w:lvl w:ilvl="0" w:tplc="00000001">
      <w:start w:val="1"/>
      <w:numFmt w:val="bullet"/>
      <w:lvlText w:val="•"/>
      <w:lvlJc w:val="left"/>
      <w:pPr>
        <w:ind w:left="720" w:hanging="360"/>
      </w:pPr>
    </w:lvl>
    <w:lvl w:ilvl="1" w:tplc="FFFFFFFF">
      <w:numFmt w:val="decimal"/>
      <w:lvlText w:val=""/>
      <w:lvlJc w:val="left"/>
    </w:lvl>
    <w:lvl w:ilvl="2" w:tplc="00000001">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CC639AC"/>
    <w:multiLevelType w:val="hybridMultilevel"/>
    <w:tmpl w:val="7E063D0C"/>
    <w:lvl w:ilvl="0" w:tplc="E9E6D43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73780F"/>
    <w:multiLevelType w:val="hybridMultilevel"/>
    <w:tmpl w:val="67267AEE"/>
    <w:lvl w:ilvl="0" w:tplc="04090001">
      <w:start w:val="1"/>
      <w:numFmt w:val="bullet"/>
      <w:lvlText w:val=""/>
      <w:lvlJc w:val="left"/>
      <w:pPr>
        <w:ind w:left="5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ECD1127"/>
    <w:multiLevelType w:val="multilevel"/>
    <w:tmpl w:val="AB28D33C"/>
    <w:lvl w:ilvl="0">
      <w:start w:val="3"/>
      <w:numFmt w:val="decimal"/>
      <w:lvlText w:val="%1"/>
      <w:lvlJc w:val="left"/>
      <w:pPr>
        <w:ind w:left="360" w:hanging="360"/>
      </w:pPr>
      <w:rPr>
        <w:rFonts w:eastAsia="Times New Roman" w:cs="Times New Roman" w:hint="default"/>
        <w:b/>
      </w:rPr>
    </w:lvl>
    <w:lvl w:ilvl="1">
      <w:start w:val="1"/>
      <w:numFmt w:val="decimal"/>
      <w:lvlText w:val="1.3.%2"/>
      <w:lvlJc w:val="left"/>
      <w:pPr>
        <w:ind w:left="360" w:hanging="360"/>
      </w:pPr>
      <w:rPr>
        <w:rFonts w:eastAsia="Times New Roman" w:cs="Times New Roman" w:hint="default"/>
        <w:b/>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720" w:hanging="72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080" w:hanging="1080"/>
      </w:pPr>
      <w:rPr>
        <w:rFonts w:eastAsia="Times New Roman" w:cs="Times New Roman" w:hint="default"/>
        <w:b/>
      </w:rPr>
    </w:lvl>
    <w:lvl w:ilvl="6">
      <w:start w:val="1"/>
      <w:numFmt w:val="decimal"/>
      <w:lvlText w:val="%1.%2.%3.%4.%5.%6.%7"/>
      <w:lvlJc w:val="left"/>
      <w:pPr>
        <w:ind w:left="1440" w:hanging="1440"/>
      </w:pPr>
      <w:rPr>
        <w:rFonts w:eastAsia="Times New Roman" w:cs="Times New Roman" w:hint="default"/>
        <w:b/>
      </w:rPr>
    </w:lvl>
    <w:lvl w:ilvl="7">
      <w:start w:val="1"/>
      <w:numFmt w:val="decimal"/>
      <w:lvlText w:val="%1.%2.%3.%4.%5.%6.%7.%8"/>
      <w:lvlJc w:val="left"/>
      <w:pPr>
        <w:ind w:left="1440" w:hanging="1440"/>
      </w:pPr>
      <w:rPr>
        <w:rFonts w:eastAsia="Times New Roman" w:cs="Times New Roman" w:hint="default"/>
        <w:b/>
      </w:rPr>
    </w:lvl>
    <w:lvl w:ilvl="8">
      <w:start w:val="1"/>
      <w:numFmt w:val="decimal"/>
      <w:lvlText w:val="%1.%2.%3.%4.%5.%6.%7.%8.%9"/>
      <w:lvlJc w:val="left"/>
      <w:pPr>
        <w:ind w:left="1440" w:hanging="1440"/>
      </w:pPr>
      <w:rPr>
        <w:rFonts w:eastAsia="Times New Roman" w:cs="Times New Roman" w:hint="default"/>
        <w:b/>
      </w:rPr>
    </w:lvl>
  </w:abstractNum>
  <w:abstractNum w:abstractNumId="23" w15:restartNumberingAfterBreak="0">
    <w:nsid w:val="441E7B92"/>
    <w:multiLevelType w:val="multilevel"/>
    <w:tmpl w:val="CECAC494"/>
    <w:lvl w:ilvl="0">
      <w:start w:val="1"/>
      <w:numFmt w:val="bullet"/>
      <w:lvlText w:val=""/>
      <w:lvlJc w:val="left"/>
      <w:pPr>
        <w:ind w:left="360" w:hanging="360"/>
      </w:pPr>
      <w:rPr>
        <w:rFonts w:ascii="Symbol" w:hAnsi="Symbol" w:hint="default"/>
      </w:rPr>
    </w:lvl>
    <w:lvl w:ilvl="1">
      <w:start w:val="5"/>
      <w:numFmt w:val="decimal"/>
      <w:lvlText w:val="%1.%2"/>
      <w:lvlJc w:val="left"/>
      <w:pPr>
        <w:ind w:left="460" w:hanging="4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B483C5F"/>
    <w:multiLevelType w:val="hybridMultilevel"/>
    <w:tmpl w:val="593E1E5A"/>
    <w:lvl w:ilvl="0" w:tplc="08090001">
      <w:start w:val="1"/>
      <w:numFmt w:val="bullet"/>
      <w:lvlText w:val=""/>
      <w:lvlJc w:val="left"/>
      <w:pPr>
        <w:ind w:left="360" w:hanging="360"/>
      </w:pPr>
      <w:rPr>
        <w:rFonts w:ascii="Symbol" w:hAnsi="Symbol" w:hint="default"/>
      </w:rPr>
    </w:lvl>
    <w:lvl w:ilvl="1" w:tplc="08090019">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5" w15:restartNumberingAfterBreak="0">
    <w:nsid w:val="4BB8099F"/>
    <w:multiLevelType w:val="hybridMultilevel"/>
    <w:tmpl w:val="1B12FEC8"/>
    <w:lvl w:ilvl="0" w:tplc="0DF4B56A">
      <w:start w:val="1"/>
      <w:numFmt w:val="lowerRoman"/>
      <w:lvlText w:val="%1)"/>
      <w:lvlJc w:val="left"/>
      <w:pPr>
        <w:ind w:left="760" w:hanging="72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6" w15:restartNumberingAfterBreak="0">
    <w:nsid w:val="4F9E1943"/>
    <w:multiLevelType w:val="multilevel"/>
    <w:tmpl w:val="B6FECA2E"/>
    <w:lvl w:ilvl="0">
      <w:start w:val="1"/>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814AEE"/>
    <w:multiLevelType w:val="multilevel"/>
    <w:tmpl w:val="BC6AAB72"/>
    <w:lvl w:ilvl="0">
      <w:start w:val="2"/>
      <w:numFmt w:val="decimal"/>
      <w:lvlText w:val="%1"/>
      <w:lvlJc w:val="left"/>
      <w:pPr>
        <w:ind w:left="460" w:hanging="460"/>
      </w:pPr>
      <w:rPr>
        <w:rFonts w:hint="default"/>
      </w:rPr>
    </w:lvl>
    <w:lvl w:ilvl="1">
      <w:start w:val="5"/>
      <w:numFmt w:val="decimal"/>
      <w:lvlText w:val="%1.%2"/>
      <w:lvlJc w:val="left"/>
      <w:pPr>
        <w:ind w:left="460" w:hanging="4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5B829D7"/>
    <w:multiLevelType w:val="hybridMultilevel"/>
    <w:tmpl w:val="998051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3D581A"/>
    <w:multiLevelType w:val="hybridMultilevel"/>
    <w:tmpl w:val="6EEA6E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6131AE"/>
    <w:multiLevelType w:val="hybridMultilevel"/>
    <w:tmpl w:val="B0F42044"/>
    <w:lvl w:ilvl="0" w:tplc="181AFAFC">
      <w:start w:val="1"/>
      <w:numFmt w:val="decimal"/>
      <w:lvlText w:val="%1."/>
      <w:lvlJc w:val="left"/>
      <w:pPr>
        <w:ind w:left="644" w:hanging="360"/>
      </w:pPr>
      <w:rPr>
        <w:rFonts w:asciiTheme="majorHAnsi" w:eastAsiaTheme="minorHAnsi" w:hAnsiTheme="majorHAnsi" w:cs="OpenSans" w:hint="default"/>
        <w:b w:val="0"/>
        <w:bCs w:val="0"/>
        <w:i w:val="0"/>
        <w:i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5176A8D"/>
    <w:multiLevelType w:val="hybridMultilevel"/>
    <w:tmpl w:val="CB46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F51FC3"/>
    <w:multiLevelType w:val="hybridMultilevel"/>
    <w:tmpl w:val="5B986B10"/>
    <w:lvl w:ilvl="0" w:tplc="04090003">
      <w:start w:val="1"/>
      <w:numFmt w:val="bullet"/>
      <w:lvlText w:val="o"/>
      <w:lvlJc w:val="left"/>
      <w:pPr>
        <w:ind w:left="1080" w:hanging="360"/>
      </w:pPr>
      <w:rPr>
        <w:rFonts w:ascii="Courier New" w:hAnsi="Courier New" w:cs="Courier New" w:hint="default"/>
      </w:rPr>
    </w:lvl>
    <w:lvl w:ilvl="1" w:tplc="0409000F">
      <w:start w:val="1"/>
      <w:numFmt w:val="decimal"/>
      <w:lvlText w:val="%2."/>
      <w:lvlJc w:val="left"/>
      <w:pPr>
        <w:ind w:left="36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4B445F"/>
    <w:multiLevelType w:val="hybridMultilevel"/>
    <w:tmpl w:val="685AA7D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911B9"/>
    <w:multiLevelType w:val="hybridMultilevel"/>
    <w:tmpl w:val="30C083F0"/>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8D5B4E"/>
    <w:multiLevelType w:val="hybridMultilevel"/>
    <w:tmpl w:val="FECC6212"/>
    <w:lvl w:ilvl="0" w:tplc="1CB0F3AC">
      <w:start w:val="16"/>
      <w:numFmt w:val="bullet"/>
      <w:lvlText w:val="-"/>
      <w:lvlJc w:val="left"/>
      <w:pPr>
        <w:ind w:left="1003" w:hanging="360"/>
      </w:pPr>
      <w:rPr>
        <w:rFonts w:ascii="Times New Roman" w:eastAsiaTheme="minorHAnsi"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6" w15:restartNumberingAfterBreak="0">
    <w:nsid w:val="70A70F8B"/>
    <w:multiLevelType w:val="hybridMultilevel"/>
    <w:tmpl w:val="DB12C77C"/>
    <w:lvl w:ilvl="0" w:tplc="E9E6D43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727D7831"/>
    <w:multiLevelType w:val="hybridMultilevel"/>
    <w:tmpl w:val="7A42979E"/>
    <w:lvl w:ilvl="0" w:tplc="0409000F">
      <w:start w:val="6"/>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4137BE"/>
    <w:multiLevelType w:val="hybridMultilevel"/>
    <w:tmpl w:val="5BDA4842"/>
    <w:lvl w:ilvl="0" w:tplc="E9E6D43A">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7018E3"/>
    <w:multiLevelType w:val="hybridMultilevel"/>
    <w:tmpl w:val="A830E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A11F6"/>
    <w:multiLevelType w:val="hybridMultilevel"/>
    <w:tmpl w:val="6356553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6237801"/>
    <w:multiLevelType w:val="hybridMultilevel"/>
    <w:tmpl w:val="3568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05FC6"/>
    <w:multiLevelType w:val="hybridMultilevel"/>
    <w:tmpl w:val="6D34F4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2600E4"/>
    <w:multiLevelType w:val="hybridMultilevel"/>
    <w:tmpl w:val="B3880DAC"/>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C476C2"/>
    <w:multiLevelType w:val="hybridMultilevel"/>
    <w:tmpl w:val="8CECD19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4"/>
  </w:num>
  <w:num w:numId="4">
    <w:abstractNumId w:val="31"/>
  </w:num>
  <w:num w:numId="5">
    <w:abstractNumId w:val="33"/>
  </w:num>
  <w:num w:numId="6">
    <w:abstractNumId w:val="26"/>
  </w:num>
  <w:num w:numId="7">
    <w:abstractNumId w:val="2"/>
  </w:num>
  <w:num w:numId="8">
    <w:abstractNumId w:val="14"/>
  </w:num>
  <w:num w:numId="9">
    <w:abstractNumId w:val="30"/>
  </w:num>
  <w:num w:numId="10">
    <w:abstractNumId w:val="3"/>
  </w:num>
  <w:num w:numId="11">
    <w:abstractNumId w:val="42"/>
  </w:num>
  <w:num w:numId="12">
    <w:abstractNumId w:val="27"/>
  </w:num>
  <w:num w:numId="13">
    <w:abstractNumId w:val="32"/>
  </w:num>
  <w:num w:numId="14">
    <w:abstractNumId w:val="29"/>
  </w:num>
  <w:num w:numId="15">
    <w:abstractNumId w:val="28"/>
  </w:num>
  <w:num w:numId="16">
    <w:abstractNumId w:val="10"/>
  </w:num>
  <w:num w:numId="17">
    <w:abstractNumId w:val="6"/>
  </w:num>
  <w:num w:numId="18">
    <w:abstractNumId w:val="0"/>
  </w:num>
  <w:num w:numId="19">
    <w:abstractNumId w:val="1"/>
  </w:num>
  <w:num w:numId="20">
    <w:abstractNumId w:val="21"/>
  </w:num>
  <w:num w:numId="21">
    <w:abstractNumId w:val="13"/>
  </w:num>
  <w:num w:numId="22">
    <w:abstractNumId w:val="25"/>
  </w:num>
  <w:num w:numId="23">
    <w:abstractNumId w:val="18"/>
  </w:num>
  <w:num w:numId="24">
    <w:abstractNumId w:val="39"/>
  </w:num>
  <w:num w:numId="25">
    <w:abstractNumId w:val="40"/>
  </w:num>
  <w:num w:numId="26">
    <w:abstractNumId w:val="12"/>
  </w:num>
  <w:num w:numId="27">
    <w:abstractNumId w:val="44"/>
  </w:num>
  <w:num w:numId="28">
    <w:abstractNumId w:val="16"/>
  </w:num>
  <w:num w:numId="29">
    <w:abstractNumId w:val="9"/>
  </w:num>
  <w:num w:numId="30">
    <w:abstractNumId w:val="15"/>
  </w:num>
  <w:num w:numId="31">
    <w:abstractNumId w:val="4"/>
  </w:num>
  <w:num w:numId="32">
    <w:abstractNumId w:val="23"/>
  </w:num>
  <w:num w:numId="33">
    <w:abstractNumId w:val="8"/>
  </w:num>
  <w:num w:numId="34">
    <w:abstractNumId w:val="37"/>
  </w:num>
  <w:num w:numId="35">
    <w:abstractNumId w:val="34"/>
  </w:num>
  <w:num w:numId="36">
    <w:abstractNumId w:val="7"/>
  </w:num>
  <w:num w:numId="37">
    <w:abstractNumId w:val="35"/>
  </w:num>
  <w:num w:numId="38">
    <w:abstractNumId w:val="5"/>
  </w:num>
  <w:num w:numId="39">
    <w:abstractNumId w:val="41"/>
  </w:num>
  <w:num w:numId="40">
    <w:abstractNumId w:val="17"/>
  </w:num>
  <w:num w:numId="41">
    <w:abstractNumId w:val="38"/>
  </w:num>
  <w:num w:numId="42">
    <w:abstractNumId w:val="20"/>
  </w:num>
  <w:num w:numId="43">
    <w:abstractNumId w:val="11"/>
  </w:num>
  <w:num w:numId="44">
    <w:abstractNumId w:val="43"/>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z59pvfoxvewle2ee8xrwt2292evzwdsrse&quot;&gt;Malaria&lt;record-ids&gt;&lt;item&gt;15&lt;/item&gt;&lt;item&gt;30&lt;/item&gt;&lt;item&gt;47&lt;/item&gt;&lt;item&gt;56&lt;/item&gt;&lt;item&gt;57&lt;/item&gt;&lt;item&gt;60&lt;/item&gt;&lt;item&gt;61&lt;/item&gt;&lt;item&gt;63&lt;/item&gt;&lt;item&gt;64&lt;/item&gt;&lt;item&gt;65&lt;/item&gt;&lt;item&gt;66&lt;/item&gt;&lt;item&gt;68&lt;/item&gt;&lt;item&gt;69&lt;/item&gt;&lt;item&gt;70&lt;/item&gt;&lt;item&gt;71&lt;/item&gt;&lt;item&gt;72&lt;/item&gt;&lt;item&gt;73&lt;/item&gt;&lt;/record-ids&gt;&lt;/item&gt;&lt;/Libraries&gt;"/>
  </w:docVars>
  <w:rsids>
    <w:rsidRoot w:val="00457F3C"/>
    <w:rsid w:val="00001335"/>
    <w:rsid w:val="00001873"/>
    <w:rsid w:val="00003A0E"/>
    <w:rsid w:val="000070BB"/>
    <w:rsid w:val="00010994"/>
    <w:rsid w:val="000123ED"/>
    <w:rsid w:val="000154C5"/>
    <w:rsid w:val="000202BD"/>
    <w:rsid w:val="00021441"/>
    <w:rsid w:val="0002256B"/>
    <w:rsid w:val="000228F9"/>
    <w:rsid w:val="00022B29"/>
    <w:rsid w:val="000236B9"/>
    <w:rsid w:val="00025D93"/>
    <w:rsid w:val="000275CD"/>
    <w:rsid w:val="0003058E"/>
    <w:rsid w:val="00030B9A"/>
    <w:rsid w:val="00030E66"/>
    <w:rsid w:val="000318E5"/>
    <w:rsid w:val="00034623"/>
    <w:rsid w:val="00035197"/>
    <w:rsid w:val="00035E68"/>
    <w:rsid w:val="000366EA"/>
    <w:rsid w:val="00042A04"/>
    <w:rsid w:val="000430C3"/>
    <w:rsid w:val="00046A6D"/>
    <w:rsid w:val="0005026C"/>
    <w:rsid w:val="00052FD9"/>
    <w:rsid w:val="0005348F"/>
    <w:rsid w:val="00054073"/>
    <w:rsid w:val="00060C7B"/>
    <w:rsid w:val="00061286"/>
    <w:rsid w:val="0006287D"/>
    <w:rsid w:val="0006498F"/>
    <w:rsid w:val="00065227"/>
    <w:rsid w:val="000661A2"/>
    <w:rsid w:val="00067CD4"/>
    <w:rsid w:val="00067E3C"/>
    <w:rsid w:val="000702F7"/>
    <w:rsid w:val="00071103"/>
    <w:rsid w:val="000727FD"/>
    <w:rsid w:val="00074A22"/>
    <w:rsid w:val="000819E6"/>
    <w:rsid w:val="0008394C"/>
    <w:rsid w:val="0008484B"/>
    <w:rsid w:val="000855B0"/>
    <w:rsid w:val="000866D6"/>
    <w:rsid w:val="00090301"/>
    <w:rsid w:val="00093314"/>
    <w:rsid w:val="000939FC"/>
    <w:rsid w:val="000946DF"/>
    <w:rsid w:val="00096D9B"/>
    <w:rsid w:val="000A0258"/>
    <w:rsid w:val="000A1A8C"/>
    <w:rsid w:val="000A1F29"/>
    <w:rsid w:val="000A4807"/>
    <w:rsid w:val="000A744B"/>
    <w:rsid w:val="000A79EA"/>
    <w:rsid w:val="000B13B0"/>
    <w:rsid w:val="000B2A70"/>
    <w:rsid w:val="000B2ABE"/>
    <w:rsid w:val="000B515C"/>
    <w:rsid w:val="000C13AC"/>
    <w:rsid w:val="000C4838"/>
    <w:rsid w:val="000C6CC1"/>
    <w:rsid w:val="000D38AC"/>
    <w:rsid w:val="000D4812"/>
    <w:rsid w:val="000D5382"/>
    <w:rsid w:val="000D7C4A"/>
    <w:rsid w:val="000E0A44"/>
    <w:rsid w:val="000E0A6F"/>
    <w:rsid w:val="000E32A1"/>
    <w:rsid w:val="000E4C30"/>
    <w:rsid w:val="000E4FBC"/>
    <w:rsid w:val="000F0767"/>
    <w:rsid w:val="000F122B"/>
    <w:rsid w:val="000F164B"/>
    <w:rsid w:val="000F57FF"/>
    <w:rsid w:val="000F5A85"/>
    <w:rsid w:val="00101490"/>
    <w:rsid w:val="00105EE3"/>
    <w:rsid w:val="001069AD"/>
    <w:rsid w:val="00107E01"/>
    <w:rsid w:val="0011356B"/>
    <w:rsid w:val="00113714"/>
    <w:rsid w:val="00114863"/>
    <w:rsid w:val="00114DB5"/>
    <w:rsid w:val="00115F62"/>
    <w:rsid w:val="001164E0"/>
    <w:rsid w:val="00116C33"/>
    <w:rsid w:val="00122FA5"/>
    <w:rsid w:val="001258F6"/>
    <w:rsid w:val="0012619F"/>
    <w:rsid w:val="00131A46"/>
    <w:rsid w:val="00132797"/>
    <w:rsid w:val="001361E1"/>
    <w:rsid w:val="00136807"/>
    <w:rsid w:val="0014066F"/>
    <w:rsid w:val="00140F5E"/>
    <w:rsid w:val="0014183E"/>
    <w:rsid w:val="00141901"/>
    <w:rsid w:val="001427E6"/>
    <w:rsid w:val="00155BC1"/>
    <w:rsid w:val="0016422A"/>
    <w:rsid w:val="00165D78"/>
    <w:rsid w:val="00165E17"/>
    <w:rsid w:val="00171B5A"/>
    <w:rsid w:val="00172776"/>
    <w:rsid w:val="001773A3"/>
    <w:rsid w:val="0017750E"/>
    <w:rsid w:val="00177F9F"/>
    <w:rsid w:val="00181283"/>
    <w:rsid w:val="00182B52"/>
    <w:rsid w:val="001839E0"/>
    <w:rsid w:val="00184AC6"/>
    <w:rsid w:val="001869E2"/>
    <w:rsid w:val="00187043"/>
    <w:rsid w:val="0019046E"/>
    <w:rsid w:val="00192E0A"/>
    <w:rsid w:val="001946FD"/>
    <w:rsid w:val="00194D02"/>
    <w:rsid w:val="0019563D"/>
    <w:rsid w:val="00197E77"/>
    <w:rsid w:val="001A67CE"/>
    <w:rsid w:val="001B2B48"/>
    <w:rsid w:val="001B3DBF"/>
    <w:rsid w:val="001B63C5"/>
    <w:rsid w:val="001B6BBC"/>
    <w:rsid w:val="001B7CCB"/>
    <w:rsid w:val="001C09BE"/>
    <w:rsid w:val="001C12D7"/>
    <w:rsid w:val="001C1D08"/>
    <w:rsid w:val="001C289C"/>
    <w:rsid w:val="001C30D0"/>
    <w:rsid w:val="001C395F"/>
    <w:rsid w:val="001C64C8"/>
    <w:rsid w:val="001D26F6"/>
    <w:rsid w:val="001D3334"/>
    <w:rsid w:val="001D48BE"/>
    <w:rsid w:val="001D51F9"/>
    <w:rsid w:val="001D5433"/>
    <w:rsid w:val="001D7667"/>
    <w:rsid w:val="001E2F8C"/>
    <w:rsid w:val="001E5E08"/>
    <w:rsid w:val="001F0A3A"/>
    <w:rsid w:val="001F50D3"/>
    <w:rsid w:val="001F74B6"/>
    <w:rsid w:val="0020213A"/>
    <w:rsid w:val="002026D0"/>
    <w:rsid w:val="00204581"/>
    <w:rsid w:val="00210BBB"/>
    <w:rsid w:val="00216012"/>
    <w:rsid w:val="00221D5F"/>
    <w:rsid w:val="0022465F"/>
    <w:rsid w:val="00224F0F"/>
    <w:rsid w:val="00227A83"/>
    <w:rsid w:val="00230418"/>
    <w:rsid w:val="002311A1"/>
    <w:rsid w:val="002325E9"/>
    <w:rsid w:val="002330F9"/>
    <w:rsid w:val="00234AB7"/>
    <w:rsid w:val="00236762"/>
    <w:rsid w:val="002425D1"/>
    <w:rsid w:val="00242CDC"/>
    <w:rsid w:val="00242F05"/>
    <w:rsid w:val="002434A3"/>
    <w:rsid w:val="002435D8"/>
    <w:rsid w:val="00244878"/>
    <w:rsid w:val="002456CC"/>
    <w:rsid w:val="0024613E"/>
    <w:rsid w:val="0024735C"/>
    <w:rsid w:val="002531E6"/>
    <w:rsid w:val="00257DF2"/>
    <w:rsid w:val="0026018C"/>
    <w:rsid w:val="00262784"/>
    <w:rsid w:val="00265313"/>
    <w:rsid w:val="0027424D"/>
    <w:rsid w:val="00276754"/>
    <w:rsid w:val="00276D73"/>
    <w:rsid w:val="00277AC0"/>
    <w:rsid w:val="00282840"/>
    <w:rsid w:val="0028439A"/>
    <w:rsid w:val="00284797"/>
    <w:rsid w:val="00285882"/>
    <w:rsid w:val="0029046D"/>
    <w:rsid w:val="00291C4D"/>
    <w:rsid w:val="00293A13"/>
    <w:rsid w:val="00295B50"/>
    <w:rsid w:val="00295FCE"/>
    <w:rsid w:val="0029600E"/>
    <w:rsid w:val="002A1E6F"/>
    <w:rsid w:val="002A25B4"/>
    <w:rsid w:val="002A37D8"/>
    <w:rsid w:val="002A3BE2"/>
    <w:rsid w:val="002A5EBD"/>
    <w:rsid w:val="002A68A3"/>
    <w:rsid w:val="002A76F2"/>
    <w:rsid w:val="002A7D18"/>
    <w:rsid w:val="002B121E"/>
    <w:rsid w:val="002B29BE"/>
    <w:rsid w:val="002C018F"/>
    <w:rsid w:val="002C0249"/>
    <w:rsid w:val="002C0B81"/>
    <w:rsid w:val="002D1EDE"/>
    <w:rsid w:val="002D22B2"/>
    <w:rsid w:val="002D2456"/>
    <w:rsid w:val="002D3397"/>
    <w:rsid w:val="002D6C82"/>
    <w:rsid w:val="002E298B"/>
    <w:rsid w:val="002E495E"/>
    <w:rsid w:val="002E5E74"/>
    <w:rsid w:val="002E7198"/>
    <w:rsid w:val="002E76BA"/>
    <w:rsid w:val="002F4D8D"/>
    <w:rsid w:val="00302AE5"/>
    <w:rsid w:val="00303480"/>
    <w:rsid w:val="0030376B"/>
    <w:rsid w:val="0030741A"/>
    <w:rsid w:val="003167FC"/>
    <w:rsid w:val="00316D16"/>
    <w:rsid w:val="00317936"/>
    <w:rsid w:val="0032058B"/>
    <w:rsid w:val="0032099F"/>
    <w:rsid w:val="003209FF"/>
    <w:rsid w:val="00321D11"/>
    <w:rsid w:val="00323EE1"/>
    <w:rsid w:val="00330A69"/>
    <w:rsid w:val="00330B00"/>
    <w:rsid w:val="0033253A"/>
    <w:rsid w:val="00334BD2"/>
    <w:rsid w:val="0033758A"/>
    <w:rsid w:val="00340B9C"/>
    <w:rsid w:val="003413C8"/>
    <w:rsid w:val="00342A27"/>
    <w:rsid w:val="003443EF"/>
    <w:rsid w:val="003445EF"/>
    <w:rsid w:val="00346082"/>
    <w:rsid w:val="00347E47"/>
    <w:rsid w:val="003530C9"/>
    <w:rsid w:val="003541F5"/>
    <w:rsid w:val="003612DF"/>
    <w:rsid w:val="00366B33"/>
    <w:rsid w:val="003672DA"/>
    <w:rsid w:val="00367A78"/>
    <w:rsid w:val="003725A2"/>
    <w:rsid w:val="00373832"/>
    <w:rsid w:val="0037567B"/>
    <w:rsid w:val="00375E22"/>
    <w:rsid w:val="00376034"/>
    <w:rsid w:val="00377032"/>
    <w:rsid w:val="00381816"/>
    <w:rsid w:val="0038229A"/>
    <w:rsid w:val="00383538"/>
    <w:rsid w:val="00384C21"/>
    <w:rsid w:val="00384C73"/>
    <w:rsid w:val="00385715"/>
    <w:rsid w:val="003870AF"/>
    <w:rsid w:val="00387BC4"/>
    <w:rsid w:val="00387DFE"/>
    <w:rsid w:val="003907FE"/>
    <w:rsid w:val="00397BC1"/>
    <w:rsid w:val="00397D4C"/>
    <w:rsid w:val="00397F0D"/>
    <w:rsid w:val="003A5D86"/>
    <w:rsid w:val="003A5F9B"/>
    <w:rsid w:val="003A79FE"/>
    <w:rsid w:val="003A7BE5"/>
    <w:rsid w:val="003B0CF3"/>
    <w:rsid w:val="003B22DC"/>
    <w:rsid w:val="003B3F28"/>
    <w:rsid w:val="003B442C"/>
    <w:rsid w:val="003C118E"/>
    <w:rsid w:val="003C3F7E"/>
    <w:rsid w:val="003C75A6"/>
    <w:rsid w:val="003D1C50"/>
    <w:rsid w:val="003D4EDB"/>
    <w:rsid w:val="003D502A"/>
    <w:rsid w:val="003D7242"/>
    <w:rsid w:val="003E0FC6"/>
    <w:rsid w:val="003E2688"/>
    <w:rsid w:val="003F035F"/>
    <w:rsid w:val="003F2BB5"/>
    <w:rsid w:val="003F4C7A"/>
    <w:rsid w:val="003F5FD9"/>
    <w:rsid w:val="004070C4"/>
    <w:rsid w:val="00412700"/>
    <w:rsid w:val="00413179"/>
    <w:rsid w:val="0041682F"/>
    <w:rsid w:val="004231E3"/>
    <w:rsid w:val="00423345"/>
    <w:rsid w:val="00425147"/>
    <w:rsid w:val="00425CA7"/>
    <w:rsid w:val="00433702"/>
    <w:rsid w:val="004363A2"/>
    <w:rsid w:val="004424E7"/>
    <w:rsid w:val="00445298"/>
    <w:rsid w:val="00450AEF"/>
    <w:rsid w:val="00452D1C"/>
    <w:rsid w:val="0045546E"/>
    <w:rsid w:val="004557BA"/>
    <w:rsid w:val="004557E6"/>
    <w:rsid w:val="00457F3C"/>
    <w:rsid w:val="004610BA"/>
    <w:rsid w:val="00461D35"/>
    <w:rsid w:val="004634BF"/>
    <w:rsid w:val="00464685"/>
    <w:rsid w:val="004705FD"/>
    <w:rsid w:val="0047118E"/>
    <w:rsid w:val="00471A19"/>
    <w:rsid w:val="00474BE3"/>
    <w:rsid w:val="00475FCD"/>
    <w:rsid w:val="00484BE0"/>
    <w:rsid w:val="00485AE0"/>
    <w:rsid w:val="004863BB"/>
    <w:rsid w:val="00487BDC"/>
    <w:rsid w:val="004901F5"/>
    <w:rsid w:val="004911E3"/>
    <w:rsid w:val="004939E0"/>
    <w:rsid w:val="00495885"/>
    <w:rsid w:val="004A0EEE"/>
    <w:rsid w:val="004A276C"/>
    <w:rsid w:val="004A52BD"/>
    <w:rsid w:val="004A611F"/>
    <w:rsid w:val="004A625E"/>
    <w:rsid w:val="004A6E57"/>
    <w:rsid w:val="004B0931"/>
    <w:rsid w:val="004B2664"/>
    <w:rsid w:val="004B5174"/>
    <w:rsid w:val="004B5AF8"/>
    <w:rsid w:val="004B6C04"/>
    <w:rsid w:val="004B76FA"/>
    <w:rsid w:val="004B782F"/>
    <w:rsid w:val="004C6CDC"/>
    <w:rsid w:val="004C746A"/>
    <w:rsid w:val="004C7C89"/>
    <w:rsid w:val="004D1406"/>
    <w:rsid w:val="004D4789"/>
    <w:rsid w:val="004D5CEC"/>
    <w:rsid w:val="004E025D"/>
    <w:rsid w:val="004E0E0E"/>
    <w:rsid w:val="004E152C"/>
    <w:rsid w:val="004E25F7"/>
    <w:rsid w:val="004E26D3"/>
    <w:rsid w:val="004E2A1D"/>
    <w:rsid w:val="004E673D"/>
    <w:rsid w:val="004E69DE"/>
    <w:rsid w:val="004F16D5"/>
    <w:rsid w:val="0050163E"/>
    <w:rsid w:val="0050748C"/>
    <w:rsid w:val="0051065A"/>
    <w:rsid w:val="00510DBE"/>
    <w:rsid w:val="00513225"/>
    <w:rsid w:val="00516D64"/>
    <w:rsid w:val="00520030"/>
    <w:rsid w:val="0052146E"/>
    <w:rsid w:val="005217B4"/>
    <w:rsid w:val="00521DB8"/>
    <w:rsid w:val="0052222E"/>
    <w:rsid w:val="005250F6"/>
    <w:rsid w:val="00525BD7"/>
    <w:rsid w:val="00531CDC"/>
    <w:rsid w:val="00544355"/>
    <w:rsid w:val="005447E4"/>
    <w:rsid w:val="00546498"/>
    <w:rsid w:val="0054788D"/>
    <w:rsid w:val="00555FE7"/>
    <w:rsid w:val="00556540"/>
    <w:rsid w:val="00560CFA"/>
    <w:rsid w:val="0056268D"/>
    <w:rsid w:val="00583AB9"/>
    <w:rsid w:val="0059015A"/>
    <w:rsid w:val="005911AD"/>
    <w:rsid w:val="005937B1"/>
    <w:rsid w:val="00594182"/>
    <w:rsid w:val="005953A9"/>
    <w:rsid w:val="00595FA7"/>
    <w:rsid w:val="005A2C89"/>
    <w:rsid w:val="005A3145"/>
    <w:rsid w:val="005A5ADA"/>
    <w:rsid w:val="005A7042"/>
    <w:rsid w:val="005A791B"/>
    <w:rsid w:val="005B368D"/>
    <w:rsid w:val="005B37A7"/>
    <w:rsid w:val="005B3916"/>
    <w:rsid w:val="005B3C0E"/>
    <w:rsid w:val="005B4506"/>
    <w:rsid w:val="005B59CC"/>
    <w:rsid w:val="005B6659"/>
    <w:rsid w:val="005C76C7"/>
    <w:rsid w:val="005C7761"/>
    <w:rsid w:val="005C783C"/>
    <w:rsid w:val="005D128B"/>
    <w:rsid w:val="005D2377"/>
    <w:rsid w:val="005D66A3"/>
    <w:rsid w:val="005D6974"/>
    <w:rsid w:val="005D6AEF"/>
    <w:rsid w:val="005E0442"/>
    <w:rsid w:val="005E0C28"/>
    <w:rsid w:val="005E29FA"/>
    <w:rsid w:val="005E47D8"/>
    <w:rsid w:val="005E61AE"/>
    <w:rsid w:val="005E674A"/>
    <w:rsid w:val="005F035E"/>
    <w:rsid w:val="005F0CDB"/>
    <w:rsid w:val="005F7E22"/>
    <w:rsid w:val="00600100"/>
    <w:rsid w:val="00600CD9"/>
    <w:rsid w:val="00600E79"/>
    <w:rsid w:val="00601254"/>
    <w:rsid w:val="00601CD5"/>
    <w:rsid w:val="00604E0F"/>
    <w:rsid w:val="0061117D"/>
    <w:rsid w:val="00611B32"/>
    <w:rsid w:val="0061232B"/>
    <w:rsid w:val="006132C0"/>
    <w:rsid w:val="00613A28"/>
    <w:rsid w:val="00613D92"/>
    <w:rsid w:val="00616062"/>
    <w:rsid w:val="0061649E"/>
    <w:rsid w:val="006173D3"/>
    <w:rsid w:val="006201BF"/>
    <w:rsid w:val="00621F61"/>
    <w:rsid w:val="00623AAD"/>
    <w:rsid w:val="00626C30"/>
    <w:rsid w:val="00626E5A"/>
    <w:rsid w:val="0062773D"/>
    <w:rsid w:val="00634286"/>
    <w:rsid w:val="006351E3"/>
    <w:rsid w:val="006364B7"/>
    <w:rsid w:val="00636B3E"/>
    <w:rsid w:val="006373B4"/>
    <w:rsid w:val="00640119"/>
    <w:rsid w:val="00642419"/>
    <w:rsid w:val="00643887"/>
    <w:rsid w:val="00643A7C"/>
    <w:rsid w:val="00645D94"/>
    <w:rsid w:val="00645F31"/>
    <w:rsid w:val="00646458"/>
    <w:rsid w:val="00646AFC"/>
    <w:rsid w:val="00653518"/>
    <w:rsid w:val="00661405"/>
    <w:rsid w:val="0066722E"/>
    <w:rsid w:val="00670965"/>
    <w:rsid w:val="0067556C"/>
    <w:rsid w:val="006758AE"/>
    <w:rsid w:val="0067609B"/>
    <w:rsid w:val="0067642F"/>
    <w:rsid w:val="00680F5A"/>
    <w:rsid w:val="00681FBB"/>
    <w:rsid w:val="00684DEB"/>
    <w:rsid w:val="00691BA3"/>
    <w:rsid w:val="00693CBA"/>
    <w:rsid w:val="006946A6"/>
    <w:rsid w:val="006A3089"/>
    <w:rsid w:val="006B3E50"/>
    <w:rsid w:val="006B44E9"/>
    <w:rsid w:val="006B65A7"/>
    <w:rsid w:val="006B6AC4"/>
    <w:rsid w:val="006C34B9"/>
    <w:rsid w:val="006C6B00"/>
    <w:rsid w:val="006C6C19"/>
    <w:rsid w:val="006C750B"/>
    <w:rsid w:val="006C78CF"/>
    <w:rsid w:val="006D0481"/>
    <w:rsid w:val="006D0D0D"/>
    <w:rsid w:val="006D0D1B"/>
    <w:rsid w:val="006D49A4"/>
    <w:rsid w:val="006E10CD"/>
    <w:rsid w:val="006E21B0"/>
    <w:rsid w:val="006E28C0"/>
    <w:rsid w:val="006E47BD"/>
    <w:rsid w:val="006E5C3F"/>
    <w:rsid w:val="006E6523"/>
    <w:rsid w:val="006F1C72"/>
    <w:rsid w:val="006F236D"/>
    <w:rsid w:val="006F3596"/>
    <w:rsid w:val="006F7A5D"/>
    <w:rsid w:val="00700C0C"/>
    <w:rsid w:val="007061B3"/>
    <w:rsid w:val="00710F56"/>
    <w:rsid w:val="00712341"/>
    <w:rsid w:val="007151E8"/>
    <w:rsid w:val="007222C5"/>
    <w:rsid w:val="00722A22"/>
    <w:rsid w:val="00723798"/>
    <w:rsid w:val="007327C4"/>
    <w:rsid w:val="00732F40"/>
    <w:rsid w:val="00734EE1"/>
    <w:rsid w:val="007364B4"/>
    <w:rsid w:val="007425E7"/>
    <w:rsid w:val="007426E9"/>
    <w:rsid w:val="00743C0C"/>
    <w:rsid w:val="00745649"/>
    <w:rsid w:val="00745D9D"/>
    <w:rsid w:val="00747EF1"/>
    <w:rsid w:val="00751768"/>
    <w:rsid w:val="00754157"/>
    <w:rsid w:val="007546A4"/>
    <w:rsid w:val="00756CFF"/>
    <w:rsid w:val="00757A9A"/>
    <w:rsid w:val="00761267"/>
    <w:rsid w:val="00765509"/>
    <w:rsid w:val="00773A27"/>
    <w:rsid w:val="00774047"/>
    <w:rsid w:val="00775A31"/>
    <w:rsid w:val="00775B1D"/>
    <w:rsid w:val="00776284"/>
    <w:rsid w:val="00776823"/>
    <w:rsid w:val="00781BAA"/>
    <w:rsid w:val="00783C7F"/>
    <w:rsid w:val="0078408D"/>
    <w:rsid w:val="00784D5A"/>
    <w:rsid w:val="007853A0"/>
    <w:rsid w:val="00787C61"/>
    <w:rsid w:val="007915B9"/>
    <w:rsid w:val="00795088"/>
    <w:rsid w:val="0079536A"/>
    <w:rsid w:val="0079755C"/>
    <w:rsid w:val="007A1BA9"/>
    <w:rsid w:val="007A5B89"/>
    <w:rsid w:val="007A619F"/>
    <w:rsid w:val="007B1E80"/>
    <w:rsid w:val="007B2250"/>
    <w:rsid w:val="007B6D3F"/>
    <w:rsid w:val="007C0882"/>
    <w:rsid w:val="007C312B"/>
    <w:rsid w:val="007C36EC"/>
    <w:rsid w:val="007C43EE"/>
    <w:rsid w:val="007D0A74"/>
    <w:rsid w:val="007D6B7E"/>
    <w:rsid w:val="007F0EB5"/>
    <w:rsid w:val="007F2DF8"/>
    <w:rsid w:val="007F2F59"/>
    <w:rsid w:val="007F3A07"/>
    <w:rsid w:val="00802A59"/>
    <w:rsid w:val="008044FF"/>
    <w:rsid w:val="00805DC4"/>
    <w:rsid w:val="0080623B"/>
    <w:rsid w:val="00810B34"/>
    <w:rsid w:val="008117A0"/>
    <w:rsid w:val="00811D1E"/>
    <w:rsid w:val="0081586E"/>
    <w:rsid w:val="008178AE"/>
    <w:rsid w:val="0082063A"/>
    <w:rsid w:val="00821BB9"/>
    <w:rsid w:val="008226B9"/>
    <w:rsid w:val="00824739"/>
    <w:rsid w:val="00826AE2"/>
    <w:rsid w:val="00831139"/>
    <w:rsid w:val="008314AE"/>
    <w:rsid w:val="00832924"/>
    <w:rsid w:val="00832F97"/>
    <w:rsid w:val="00833C2B"/>
    <w:rsid w:val="00833FC9"/>
    <w:rsid w:val="00837544"/>
    <w:rsid w:val="008375BB"/>
    <w:rsid w:val="00840883"/>
    <w:rsid w:val="00844D44"/>
    <w:rsid w:val="008463F5"/>
    <w:rsid w:val="00851F50"/>
    <w:rsid w:val="008534BB"/>
    <w:rsid w:val="008545C6"/>
    <w:rsid w:val="008562E0"/>
    <w:rsid w:val="008571F7"/>
    <w:rsid w:val="008575D9"/>
    <w:rsid w:val="00857D44"/>
    <w:rsid w:val="0086046D"/>
    <w:rsid w:val="00861DB6"/>
    <w:rsid w:val="008620B0"/>
    <w:rsid w:val="00862816"/>
    <w:rsid w:val="008702C7"/>
    <w:rsid w:val="00872933"/>
    <w:rsid w:val="00872F8A"/>
    <w:rsid w:val="008734C8"/>
    <w:rsid w:val="00875BD1"/>
    <w:rsid w:val="008763FC"/>
    <w:rsid w:val="0087658D"/>
    <w:rsid w:val="00876936"/>
    <w:rsid w:val="00883252"/>
    <w:rsid w:val="00887A5E"/>
    <w:rsid w:val="00890427"/>
    <w:rsid w:val="00891000"/>
    <w:rsid w:val="00892FF0"/>
    <w:rsid w:val="0089747F"/>
    <w:rsid w:val="008A023A"/>
    <w:rsid w:val="008A0A60"/>
    <w:rsid w:val="008A2C57"/>
    <w:rsid w:val="008A3044"/>
    <w:rsid w:val="008A4915"/>
    <w:rsid w:val="008A60FD"/>
    <w:rsid w:val="008A7526"/>
    <w:rsid w:val="008B12A2"/>
    <w:rsid w:val="008B1CD7"/>
    <w:rsid w:val="008B2012"/>
    <w:rsid w:val="008B216B"/>
    <w:rsid w:val="008B40E5"/>
    <w:rsid w:val="008B70AF"/>
    <w:rsid w:val="008B7E21"/>
    <w:rsid w:val="008C0E16"/>
    <w:rsid w:val="008C7F48"/>
    <w:rsid w:val="008D5514"/>
    <w:rsid w:val="008E161B"/>
    <w:rsid w:val="008E352A"/>
    <w:rsid w:val="008E3590"/>
    <w:rsid w:val="008F2F89"/>
    <w:rsid w:val="00900331"/>
    <w:rsid w:val="009003D8"/>
    <w:rsid w:val="00900475"/>
    <w:rsid w:val="009006B3"/>
    <w:rsid w:val="00902F0D"/>
    <w:rsid w:val="0090640C"/>
    <w:rsid w:val="00907965"/>
    <w:rsid w:val="009104B0"/>
    <w:rsid w:val="009109D9"/>
    <w:rsid w:val="00911AB9"/>
    <w:rsid w:val="009149C8"/>
    <w:rsid w:val="00914A63"/>
    <w:rsid w:val="00914C1B"/>
    <w:rsid w:val="00916405"/>
    <w:rsid w:val="00916E62"/>
    <w:rsid w:val="009206E2"/>
    <w:rsid w:val="00920EBB"/>
    <w:rsid w:val="009216BC"/>
    <w:rsid w:val="00926855"/>
    <w:rsid w:val="0094190D"/>
    <w:rsid w:val="009526AD"/>
    <w:rsid w:val="00961173"/>
    <w:rsid w:val="009623E0"/>
    <w:rsid w:val="00964BC7"/>
    <w:rsid w:val="00964C93"/>
    <w:rsid w:val="0096603A"/>
    <w:rsid w:val="00972F94"/>
    <w:rsid w:val="00973350"/>
    <w:rsid w:val="009738CF"/>
    <w:rsid w:val="0097460D"/>
    <w:rsid w:val="00977441"/>
    <w:rsid w:val="00977A95"/>
    <w:rsid w:val="009802EE"/>
    <w:rsid w:val="00980FA8"/>
    <w:rsid w:val="00981AA6"/>
    <w:rsid w:val="00982200"/>
    <w:rsid w:val="009827F8"/>
    <w:rsid w:val="00985B1A"/>
    <w:rsid w:val="00990197"/>
    <w:rsid w:val="00991D37"/>
    <w:rsid w:val="009A278A"/>
    <w:rsid w:val="009A497C"/>
    <w:rsid w:val="009A53AA"/>
    <w:rsid w:val="009A64F2"/>
    <w:rsid w:val="009A652B"/>
    <w:rsid w:val="009B12AA"/>
    <w:rsid w:val="009B290A"/>
    <w:rsid w:val="009B69A6"/>
    <w:rsid w:val="009B7F76"/>
    <w:rsid w:val="009C0237"/>
    <w:rsid w:val="009C16AF"/>
    <w:rsid w:val="009C6153"/>
    <w:rsid w:val="009D3DEE"/>
    <w:rsid w:val="009D4AB0"/>
    <w:rsid w:val="009E5614"/>
    <w:rsid w:val="009E692B"/>
    <w:rsid w:val="009E7116"/>
    <w:rsid w:val="009F33DF"/>
    <w:rsid w:val="009F4D60"/>
    <w:rsid w:val="009F57CE"/>
    <w:rsid w:val="00A00BED"/>
    <w:rsid w:val="00A01D7A"/>
    <w:rsid w:val="00A033E5"/>
    <w:rsid w:val="00A03A4B"/>
    <w:rsid w:val="00A0525A"/>
    <w:rsid w:val="00A06555"/>
    <w:rsid w:val="00A066EB"/>
    <w:rsid w:val="00A1154B"/>
    <w:rsid w:val="00A150B6"/>
    <w:rsid w:val="00A159E7"/>
    <w:rsid w:val="00A16634"/>
    <w:rsid w:val="00A20CA0"/>
    <w:rsid w:val="00A24996"/>
    <w:rsid w:val="00A26D61"/>
    <w:rsid w:val="00A30053"/>
    <w:rsid w:val="00A311EF"/>
    <w:rsid w:val="00A3197A"/>
    <w:rsid w:val="00A33643"/>
    <w:rsid w:val="00A35E8A"/>
    <w:rsid w:val="00A4255F"/>
    <w:rsid w:val="00A458D1"/>
    <w:rsid w:val="00A46193"/>
    <w:rsid w:val="00A4642F"/>
    <w:rsid w:val="00A47436"/>
    <w:rsid w:val="00A50CA6"/>
    <w:rsid w:val="00A538A3"/>
    <w:rsid w:val="00A53D62"/>
    <w:rsid w:val="00A56D8C"/>
    <w:rsid w:val="00A60B66"/>
    <w:rsid w:val="00A6169D"/>
    <w:rsid w:val="00A62169"/>
    <w:rsid w:val="00A63FC2"/>
    <w:rsid w:val="00A643B7"/>
    <w:rsid w:val="00A645BB"/>
    <w:rsid w:val="00A67CED"/>
    <w:rsid w:val="00A704A8"/>
    <w:rsid w:val="00A73CA5"/>
    <w:rsid w:val="00A74D80"/>
    <w:rsid w:val="00A84C55"/>
    <w:rsid w:val="00A86764"/>
    <w:rsid w:val="00A86A19"/>
    <w:rsid w:val="00A876E5"/>
    <w:rsid w:val="00A87A81"/>
    <w:rsid w:val="00A90B0E"/>
    <w:rsid w:val="00A939A4"/>
    <w:rsid w:val="00A939D9"/>
    <w:rsid w:val="00A945BB"/>
    <w:rsid w:val="00A9564E"/>
    <w:rsid w:val="00A970B1"/>
    <w:rsid w:val="00A97577"/>
    <w:rsid w:val="00AA0315"/>
    <w:rsid w:val="00AA2105"/>
    <w:rsid w:val="00AA2500"/>
    <w:rsid w:val="00AA40C2"/>
    <w:rsid w:val="00AA435C"/>
    <w:rsid w:val="00AA475B"/>
    <w:rsid w:val="00AA4810"/>
    <w:rsid w:val="00AA68AC"/>
    <w:rsid w:val="00AA69F3"/>
    <w:rsid w:val="00AB0F57"/>
    <w:rsid w:val="00AB15AA"/>
    <w:rsid w:val="00AB2056"/>
    <w:rsid w:val="00AB3D36"/>
    <w:rsid w:val="00AB3F5D"/>
    <w:rsid w:val="00AB585E"/>
    <w:rsid w:val="00AB697F"/>
    <w:rsid w:val="00AB7161"/>
    <w:rsid w:val="00AC1919"/>
    <w:rsid w:val="00AC2304"/>
    <w:rsid w:val="00AC238C"/>
    <w:rsid w:val="00AC5671"/>
    <w:rsid w:val="00AC79FD"/>
    <w:rsid w:val="00AC7BED"/>
    <w:rsid w:val="00AD2204"/>
    <w:rsid w:val="00AD2FE4"/>
    <w:rsid w:val="00AD5C41"/>
    <w:rsid w:val="00AD5DC4"/>
    <w:rsid w:val="00AE1C76"/>
    <w:rsid w:val="00AE1D1D"/>
    <w:rsid w:val="00AE312C"/>
    <w:rsid w:val="00AE44E8"/>
    <w:rsid w:val="00AE49D6"/>
    <w:rsid w:val="00AE4D03"/>
    <w:rsid w:val="00AE65F2"/>
    <w:rsid w:val="00AE7BCB"/>
    <w:rsid w:val="00AF3778"/>
    <w:rsid w:val="00AF42EF"/>
    <w:rsid w:val="00AF6C9A"/>
    <w:rsid w:val="00AF6D1B"/>
    <w:rsid w:val="00AF7B28"/>
    <w:rsid w:val="00B0002F"/>
    <w:rsid w:val="00B00765"/>
    <w:rsid w:val="00B023F6"/>
    <w:rsid w:val="00B046C1"/>
    <w:rsid w:val="00B13010"/>
    <w:rsid w:val="00B130B5"/>
    <w:rsid w:val="00B15ACE"/>
    <w:rsid w:val="00B21853"/>
    <w:rsid w:val="00B21EDA"/>
    <w:rsid w:val="00B24819"/>
    <w:rsid w:val="00B33D66"/>
    <w:rsid w:val="00B3430C"/>
    <w:rsid w:val="00B34FEB"/>
    <w:rsid w:val="00B36AB8"/>
    <w:rsid w:val="00B37E4E"/>
    <w:rsid w:val="00B4146A"/>
    <w:rsid w:val="00B4265C"/>
    <w:rsid w:val="00B44FA6"/>
    <w:rsid w:val="00B4530F"/>
    <w:rsid w:val="00B46FF3"/>
    <w:rsid w:val="00B47D01"/>
    <w:rsid w:val="00B51C11"/>
    <w:rsid w:val="00B51E4C"/>
    <w:rsid w:val="00B54DEA"/>
    <w:rsid w:val="00B5622E"/>
    <w:rsid w:val="00B62125"/>
    <w:rsid w:val="00B62DD3"/>
    <w:rsid w:val="00B64BDF"/>
    <w:rsid w:val="00B65791"/>
    <w:rsid w:val="00B70623"/>
    <w:rsid w:val="00B727EE"/>
    <w:rsid w:val="00B74898"/>
    <w:rsid w:val="00B748F6"/>
    <w:rsid w:val="00B755A4"/>
    <w:rsid w:val="00B77C4B"/>
    <w:rsid w:val="00B83A88"/>
    <w:rsid w:val="00B84BFE"/>
    <w:rsid w:val="00B96C86"/>
    <w:rsid w:val="00BA5B6C"/>
    <w:rsid w:val="00BB09CC"/>
    <w:rsid w:val="00BB0C29"/>
    <w:rsid w:val="00BB328B"/>
    <w:rsid w:val="00BB4295"/>
    <w:rsid w:val="00BB4A98"/>
    <w:rsid w:val="00BB4B67"/>
    <w:rsid w:val="00BB6555"/>
    <w:rsid w:val="00BB678B"/>
    <w:rsid w:val="00BB79C5"/>
    <w:rsid w:val="00BC53EC"/>
    <w:rsid w:val="00BD15BC"/>
    <w:rsid w:val="00BD280D"/>
    <w:rsid w:val="00BD590F"/>
    <w:rsid w:val="00BF0048"/>
    <w:rsid w:val="00BF11CF"/>
    <w:rsid w:val="00BF3269"/>
    <w:rsid w:val="00BF4F83"/>
    <w:rsid w:val="00BF6641"/>
    <w:rsid w:val="00BF7004"/>
    <w:rsid w:val="00BF7745"/>
    <w:rsid w:val="00C00154"/>
    <w:rsid w:val="00C00837"/>
    <w:rsid w:val="00C029A7"/>
    <w:rsid w:val="00C02C34"/>
    <w:rsid w:val="00C064F3"/>
    <w:rsid w:val="00C10C4F"/>
    <w:rsid w:val="00C10F6C"/>
    <w:rsid w:val="00C11C24"/>
    <w:rsid w:val="00C11DE5"/>
    <w:rsid w:val="00C152D8"/>
    <w:rsid w:val="00C16237"/>
    <w:rsid w:val="00C17825"/>
    <w:rsid w:val="00C17DB1"/>
    <w:rsid w:val="00C20031"/>
    <w:rsid w:val="00C20D87"/>
    <w:rsid w:val="00C222E5"/>
    <w:rsid w:val="00C23D7F"/>
    <w:rsid w:val="00C243D4"/>
    <w:rsid w:val="00C25DA9"/>
    <w:rsid w:val="00C3183D"/>
    <w:rsid w:val="00C31EA1"/>
    <w:rsid w:val="00C33A16"/>
    <w:rsid w:val="00C34280"/>
    <w:rsid w:val="00C403B2"/>
    <w:rsid w:val="00C43259"/>
    <w:rsid w:val="00C43BD4"/>
    <w:rsid w:val="00C509F3"/>
    <w:rsid w:val="00C55E85"/>
    <w:rsid w:val="00C5633C"/>
    <w:rsid w:val="00C57C24"/>
    <w:rsid w:val="00C6003E"/>
    <w:rsid w:val="00C60219"/>
    <w:rsid w:val="00C62789"/>
    <w:rsid w:val="00C63BB7"/>
    <w:rsid w:val="00C65F5B"/>
    <w:rsid w:val="00C6674D"/>
    <w:rsid w:val="00C67A4D"/>
    <w:rsid w:val="00C72302"/>
    <w:rsid w:val="00C8146B"/>
    <w:rsid w:val="00C8456B"/>
    <w:rsid w:val="00C91285"/>
    <w:rsid w:val="00C9185A"/>
    <w:rsid w:val="00CA2974"/>
    <w:rsid w:val="00CA3D36"/>
    <w:rsid w:val="00CA42CB"/>
    <w:rsid w:val="00CA680B"/>
    <w:rsid w:val="00CA6F34"/>
    <w:rsid w:val="00CB196E"/>
    <w:rsid w:val="00CB1EDA"/>
    <w:rsid w:val="00CB3D08"/>
    <w:rsid w:val="00CB42EF"/>
    <w:rsid w:val="00CB451B"/>
    <w:rsid w:val="00CC1C74"/>
    <w:rsid w:val="00CC24A6"/>
    <w:rsid w:val="00CC2C80"/>
    <w:rsid w:val="00CC539C"/>
    <w:rsid w:val="00CC740E"/>
    <w:rsid w:val="00CD0107"/>
    <w:rsid w:val="00CD1E16"/>
    <w:rsid w:val="00CD2DCE"/>
    <w:rsid w:val="00CD5C31"/>
    <w:rsid w:val="00CD63C6"/>
    <w:rsid w:val="00CD6B13"/>
    <w:rsid w:val="00CE361E"/>
    <w:rsid w:val="00CE3856"/>
    <w:rsid w:val="00CE5386"/>
    <w:rsid w:val="00CE5407"/>
    <w:rsid w:val="00CE6CFF"/>
    <w:rsid w:val="00CF0323"/>
    <w:rsid w:val="00CF0E26"/>
    <w:rsid w:val="00CF7477"/>
    <w:rsid w:val="00CF75DA"/>
    <w:rsid w:val="00D012DF"/>
    <w:rsid w:val="00D01BDA"/>
    <w:rsid w:val="00D03733"/>
    <w:rsid w:val="00D03AEB"/>
    <w:rsid w:val="00D0754B"/>
    <w:rsid w:val="00D1012D"/>
    <w:rsid w:val="00D13193"/>
    <w:rsid w:val="00D16100"/>
    <w:rsid w:val="00D207E1"/>
    <w:rsid w:val="00D20832"/>
    <w:rsid w:val="00D33176"/>
    <w:rsid w:val="00D448AD"/>
    <w:rsid w:val="00D45BF7"/>
    <w:rsid w:val="00D476D4"/>
    <w:rsid w:val="00D478F6"/>
    <w:rsid w:val="00D50971"/>
    <w:rsid w:val="00D50D9D"/>
    <w:rsid w:val="00D531E4"/>
    <w:rsid w:val="00D57A20"/>
    <w:rsid w:val="00D62949"/>
    <w:rsid w:val="00D62985"/>
    <w:rsid w:val="00D62E57"/>
    <w:rsid w:val="00D633B7"/>
    <w:rsid w:val="00D70DFF"/>
    <w:rsid w:val="00D7585B"/>
    <w:rsid w:val="00D80F7E"/>
    <w:rsid w:val="00D820B1"/>
    <w:rsid w:val="00D84E2C"/>
    <w:rsid w:val="00D85AF3"/>
    <w:rsid w:val="00D9043A"/>
    <w:rsid w:val="00D918D4"/>
    <w:rsid w:val="00D93171"/>
    <w:rsid w:val="00D960E5"/>
    <w:rsid w:val="00DA736B"/>
    <w:rsid w:val="00DA7C3A"/>
    <w:rsid w:val="00DB7215"/>
    <w:rsid w:val="00DB754C"/>
    <w:rsid w:val="00DB77A1"/>
    <w:rsid w:val="00DC06DB"/>
    <w:rsid w:val="00DC0760"/>
    <w:rsid w:val="00DC1D6C"/>
    <w:rsid w:val="00DC40D8"/>
    <w:rsid w:val="00DD02DC"/>
    <w:rsid w:val="00DD0554"/>
    <w:rsid w:val="00DD1CE9"/>
    <w:rsid w:val="00DD2F5A"/>
    <w:rsid w:val="00DD434F"/>
    <w:rsid w:val="00DD637A"/>
    <w:rsid w:val="00DE4EE2"/>
    <w:rsid w:val="00DF033E"/>
    <w:rsid w:val="00DF12CF"/>
    <w:rsid w:val="00DF3B74"/>
    <w:rsid w:val="00DF3FF9"/>
    <w:rsid w:val="00DF40D3"/>
    <w:rsid w:val="00E0049B"/>
    <w:rsid w:val="00E01580"/>
    <w:rsid w:val="00E01EA7"/>
    <w:rsid w:val="00E101AE"/>
    <w:rsid w:val="00E105A9"/>
    <w:rsid w:val="00E12DF5"/>
    <w:rsid w:val="00E13611"/>
    <w:rsid w:val="00E13BEE"/>
    <w:rsid w:val="00E157F6"/>
    <w:rsid w:val="00E17857"/>
    <w:rsid w:val="00E2379B"/>
    <w:rsid w:val="00E24635"/>
    <w:rsid w:val="00E26028"/>
    <w:rsid w:val="00E2723F"/>
    <w:rsid w:val="00E3061F"/>
    <w:rsid w:val="00E31001"/>
    <w:rsid w:val="00E31C2C"/>
    <w:rsid w:val="00E33A0C"/>
    <w:rsid w:val="00E44527"/>
    <w:rsid w:val="00E454A4"/>
    <w:rsid w:val="00E4592A"/>
    <w:rsid w:val="00E467C8"/>
    <w:rsid w:val="00E46AEC"/>
    <w:rsid w:val="00E46B9D"/>
    <w:rsid w:val="00E47C8B"/>
    <w:rsid w:val="00E50E4F"/>
    <w:rsid w:val="00E52EB7"/>
    <w:rsid w:val="00E540E4"/>
    <w:rsid w:val="00E54284"/>
    <w:rsid w:val="00E543D3"/>
    <w:rsid w:val="00E56057"/>
    <w:rsid w:val="00E57F23"/>
    <w:rsid w:val="00E62068"/>
    <w:rsid w:val="00E6346C"/>
    <w:rsid w:val="00E649A7"/>
    <w:rsid w:val="00E649B3"/>
    <w:rsid w:val="00E6792E"/>
    <w:rsid w:val="00E719DE"/>
    <w:rsid w:val="00E72AAC"/>
    <w:rsid w:val="00E73828"/>
    <w:rsid w:val="00E807BA"/>
    <w:rsid w:val="00E80A58"/>
    <w:rsid w:val="00E860C4"/>
    <w:rsid w:val="00E905F6"/>
    <w:rsid w:val="00E9154C"/>
    <w:rsid w:val="00E915AF"/>
    <w:rsid w:val="00E91C66"/>
    <w:rsid w:val="00E93B5C"/>
    <w:rsid w:val="00E97100"/>
    <w:rsid w:val="00EA0480"/>
    <w:rsid w:val="00EA376A"/>
    <w:rsid w:val="00EA4788"/>
    <w:rsid w:val="00EA6253"/>
    <w:rsid w:val="00EB1683"/>
    <w:rsid w:val="00EB1C2A"/>
    <w:rsid w:val="00EB2082"/>
    <w:rsid w:val="00EB3B3A"/>
    <w:rsid w:val="00EC2C67"/>
    <w:rsid w:val="00EC4BAA"/>
    <w:rsid w:val="00EC4CF7"/>
    <w:rsid w:val="00EC625D"/>
    <w:rsid w:val="00EC74FB"/>
    <w:rsid w:val="00ED36D5"/>
    <w:rsid w:val="00ED4BF0"/>
    <w:rsid w:val="00ED50BB"/>
    <w:rsid w:val="00ED625B"/>
    <w:rsid w:val="00ED6CDC"/>
    <w:rsid w:val="00EE2AA7"/>
    <w:rsid w:val="00EE2E09"/>
    <w:rsid w:val="00EE3680"/>
    <w:rsid w:val="00EE5BAD"/>
    <w:rsid w:val="00EF1E66"/>
    <w:rsid w:val="00EF2C36"/>
    <w:rsid w:val="00F02C6F"/>
    <w:rsid w:val="00F05135"/>
    <w:rsid w:val="00F05143"/>
    <w:rsid w:val="00F07856"/>
    <w:rsid w:val="00F117AD"/>
    <w:rsid w:val="00F135A2"/>
    <w:rsid w:val="00F159C1"/>
    <w:rsid w:val="00F239DF"/>
    <w:rsid w:val="00F23F93"/>
    <w:rsid w:val="00F25380"/>
    <w:rsid w:val="00F25944"/>
    <w:rsid w:val="00F307D7"/>
    <w:rsid w:val="00F31993"/>
    <w:rsid w:val="00F44E75"/>
    <w:rsid w:val="00F4660D"/>
    <w:rsid w:val="00F466A3"/>
    <w:rsid w:val="00F47E25"/>
    <w:rsid w:val="00F50BA4"/>
    <w:rsid w:val="00F51FFA"/>
    <w:rsid w:val="00F5286B"/>
    <w:rsid w:val="00F52D39"/>
    <w:rsid w:val="00F56B58"/>
    <w:rsid w:val="00F62691"/>
    <w:rsid w:val="00F641A1"/>
    <w:rsid w:val="00F648D5"/>
    <w:rsid w:val="00F6633D"/>
    <w:rsid w:val="00F715D2"/>
    <w:rsid w:val="00F7272C"/>
    <w:rsid w:val="00F844E4"/>
    <w:rsid w:val="00F85C49"/>
    <w:rsid w:val="00F86CA5"/>
    <w:rsid w:val="00F92294"/>
    <w:rsid w:val="00F93404"/>
    <w:rsid w:val="00F93E6F"/>
    <w:rsid w:val="00F94679"/>
    <w:rsid w:val="00F94E24"/>
    <w:rsid w:val="00F97E54"/>
    <w:rsid w:val="00FA5421"/>
    <w:rsid w:val="00FA74DC"/>
    <w:rsid w:val="00FB127B"/>
    <w:rsid w:val="00FB32E6"/>
    <w:rsid w:val="00FB41F3"/>
    <w:rsid w:val="00FB49A9"/>
    <w:rsid w:val="00FB6869"/>
    <w:rsid w:val="00FB6EB4"/>
    <w:rsid w:val="00FC6BF0"/>
    <w:rsid w:val="00FC701C"/>
    <w:rsid w:val="00FD0B32"/>
    <w:rsid w:val="00FD126B"/>
    <w:rsid w:val="00FD2FE2"/>
    <w:rsid w:val="00FD372E"/>
    <w:rsid w:val="00FD6A46"/>
    <w:rsid w:val="00FD6E3A"/>
    <w:rsid w:val="00FD7ECE"/>
    <w:rsid w:val="00FE1641"/>
    <w:rsid w:val="00FE24E1"/>
    <w:rsid w:val="00FE52AA"/>
    <w:rsid w:val="00FE7B2E"/>
    <w:rsid w:val="00FE7EBC"/>
    <w:rsid w:val="00FF3AC7"/>
    <w:rsid w:val="00FF6D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F0D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6B3E"/>
    <w:rPr>
      <w:rFonts w:ascii="Times New Roman" w:eastAsia="Times New Roman" w:hAnsi="Times New Roman" w:cs="Times New Roman"/>
      <w:lang w:val="en-AU"/>
    </w:rPr>
  </w:style>
  <w:style w:type="paragraph" w:styleId="Heading1">
    <w:name w:val="heading 1"/>
    <w:aliases w:val="Section Title toc"/>
    <w:basedOn w:val="Normal"/>
    <w:next w:val="Normal"/>
    <w:link w:val="Heading1Char"/>
    <w:uiPriority w:val="9"/>
    <w:qFormat/>
    <w:rsid w:val="00457F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457F3C"/>
    <w:pPr>
      <w:keepNext/>
      <w:spacing w:after="200" w:line="276" w:lineRule="auto"/>
      <w:outlineLvl w:val="1"/>
    </w:pPr>
    <w:rPr>
      <w:i/>
      <w:iCs/>
      <w:lang w:eastAsia="en-AU"/>
    </w:rPr>
  </w:style>
  <w:style w:type="paragraph" w:styleId="Heading3">
    <w:name w:val="heading 3"/>
    <w:basedOn w:val="Normal"/>
    <w:next w:val="Normal"/>
    <w:link w:val="Heading3Char"/>
    <w:uiPriority w:val="9"/>
    <w:unhideWhenUsed/>
    <w:qFormat/>
    <w:rsid w:val="009E711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E711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Title toc Char"/>
    <w:basedOn w:val="DefaultParagraphFont"/>
    <w:link w:val="Heading1"/>
    <w:uiPriority w:val="9"/>
    <w:rsid w:val="00457F3C"/>
    <w:rPr>
      <w:rFonts w:asciiTheme="majorHAnsi" w:eastAsiaTheme="majorEastAsia" w:hAnsiTheme="majorHAnsi" w:cstheme="majorBidi"/>
      <w:color w:val="2E74B5" w:themeColor="accent1" w:themeShade="BF"/>
      <w:sz w:val="32"/>
      <w:szCs w:val="32"/>
      <w:lang w:val="en-AU"/>
    </w:rPr>
  </w:style>
  <w:style w:type="character" w:customStyle="1" w:styleId="Heading2Char">
    <w:name w:val="Heading 2 Char"/>
    <w:basedOn w:val="DefaultParagraphFont"/>
    <w:link w:val="Heading2"/>
    <w:uiPriority w:val="99"/>
    <w:rsid w:val="00457F3C"/>
    <w:rPr>
      <w:rFonts w:ascii="Times New Roman" w:eastAsia="Times New Roman" w:hAnsi="Times New Roman" w:cs="Times New Roman"/>
      <w:i/>
      <w:iCs/>
      <w:lang w:val="en-AU" w:eastAsia="en-AU"/>
    </w:rPr>
  </w:style>
  <w:style w:type="character" w:styleId="Hyperlink">
    <w:name w:val="Hyperlink"/>
    <w:uiPriority w:val="99"/>
    <w:unhideWhenUsed/>
    <w:rsid w:val="00457F3C"/>
    <w:rPr>
      <w:color w:val="0000FF"/>
      <w:u w:val="single"/>
    </w:rPr>
  </w:style>
  <w:style w:type="paragraph" w:styleId="ListParagraph">
    <w:name w:val="List Paragraph"/>
    <w:basedOn w:val="Normal"/>
    <w:link w:val="ListParagraphChar"/>
    <w:uiPriority w:val="34"/>
    <w:qFormat/>
    <w:rsid w:val="00457F3C"/>
    <w:pPr>
      <w:spacing w:after="200" w:line="276" w:lineRule="auto"/>
      <w:ind w:left="720"/>
      <w:contextualSpacing/>
    </w:pPr>
    <w:rPr>
      <w:rFonts w:ascii="Calibri" w:eastAsia="Calibri" w:hAnsi="Calibri"/>
      <w:sz w:val="22"/>
      <w:szCs w:val="22"/>
    </w:rPr>
  </w:style>
  <w:style w:type="paragraph" w:customStyle="1" w:styleId="Default">
    <w:name w:val="Default"/>
    <w:rsid w:val="00457F3C"/>
    <w:pPr>
      <w:autoSpaceDE w:val="0"/>
      <w:autoSpaceDN w:val="0"/>
      <w:adjustRightInd w:val="0"/>
    </w:pPr>
    <w:rPr>
      <w:rFonts w:ascii="Arial" w:hAnsi="Arial" w:cs="Arial"/>
      <w:color w:val="000000"/>
      <w:lang w:val="en-GB"/>
    </w:rPr>
  </w:style>
  <w:style w:type="character" w:styleId="Strong">
    <w:name w:val="Strong"/>
    <w:basedOn w:val="DefaultParagraphFont"/>
    <w:uiPriority w:val="22"/>
    <w:qFormat/>
    <w:rsid w:val="00457F3C"/>
    <w:rPr>
      <w:rFonts w:ascii="Calibri" w:hAnsi="Calibri"/>
      <w:color w:val="auto"/>
      <w:sz w:val="22"/>
    </w:rPr>
  </w:style>
  <w:style w:type="paragraph" w:styleId="TOC1">
    <w:name w:val="toc 1"/>
    <w:basedOn w:val="Normal"/>
    <w:next w:val="Normal"/>
    <w:autoRedefine/>
    <w:uiPriority w:val="39"/>
    <w:unhideWhenUsed/>
    <w:rsid w:val="009003D8"/>
    <w:pPr>
      <w:tabs>
        <w:tab w:val="right" w:leader="dot" w:pos="9010"/>
      </w:tabs>
      <w:spacing w:before="120" w:line="276" w:lineRule="auto"/>
    </w:pPr>
    <w:rPr>
      <w:rFonts w:asciiTheme="minorHAnsi" w:eastAsia="Calibri" w:hAnsiTheme="minorHAnsi"/>
      <w:b/>
      <w:bCs/>
      <w:lang w:val="en-US"/>
    </w:rPr>
  </w:style>
  <w:style w:type="paragraph" w:styleId="TOC2">
    <w:name w:val="toc 2"/>
    <w:basedOn w:val="Normal"/>
    <w:next w:val="Normal"/>
    <w:autoRedefine/>
    <w:uiPriority w:val="39"/>
    <w:unhideWhenUsed/>
    <w:rsid w:val="00457F3C"/>
    <w:pPr>
      <w:spacing w:line="276" w:lineRule="auto"/>
      <w:ind w:left="220"/>
    </w:pPr>
    <w:rPr>
      <w:rFonts w:asciiTheme="minorHAnsi" w:eastAsia="Calibri" w:hAnsiTheme="minorHAnsi"/>
      <w:b/>
      <w:bCs/>
      <w:sz w:val="22"/>
      <w:szCs w:val="22"/>
      <w:lang w:val="en-US"/>
    </w:rPr>
  </w:style>
  <w:style w:type="paragraph" w:customStyle="1" w:styleId="SectionSubtitle">
    <w:name w:val="Section Subtitle"/>
    <w:basedOn w:val="Normal"/>
    <w:uiPriority w:val="99"/>
    <w:rsid w:val="00457F3C"/>
    <w:rPr>
      <w:rFonts w:ascii="Calibri" w:hAnsi="Calibri"/>
      <w:b/>
      <w:lang w:val="en-US"/>
    </w:rPr>
  </w:style>
  <w:style w:type="paragraph" w:customStyle="1" w:styleId="CoverPageTitle">
    <w:name w:val="Cover Page Title"/>
    <w:basedOn w:val="Normal"/>
    <w:uiPriority w:val="99"/>
    <w:rsid w:val="00457F3C"/>
    <w:rPr>
      <w:rFonts w:ascii="Calibri" w:hAnsi="Calibri"/>
      <w:b/>
      <w:color w:val="FFFFFF"/>
      <w:sz w:val="32"/>
      <w:lang w:val="en-US"/>
    </w:rPr>
  </w:style>
  <w:style w:type="paragraph" w:customStyle="1" w:styleId="CoverPageWhiteText">
    <w:name w:val="Cover Page White Text"/>
    <w:basedOn w:val="Normal"/>
    <w:uiPriority w:val="99"/>
    <w:rsid w:val="00457F3C"/>
    <w:rPr>
      <w:rFonts w:ascii="Calibri" w:hAnsi="Calibri"/>
      <w:b/>
      <w:color w:val="FFFFFF"/>
      <w:sz w:val="28"/>
      <w:lang w:val="en-US"/>
    </w:rPr>
  </w:style>
  <w:style w:type="paragraph" w:styleId="BalloonText">
    <w:name w:val="Balloon Text"/>
    <w:basedOn w:val="Normal"/>
    <w:link w:val="BalloonTextChar"/>
    <w:uiPriority w:val="99"/>
    <w:semiHidden/>
    <w:unhideWhenUsed/>
    <w:rsid w:val="00C91285"/>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C9128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91285"/>
    <w:rPr>
      <w:sz w:val="16"/>
      <w:szCs w:val="16"/>
    </w:rPr>
  </w:style>
  <w:style w:type="paragraph" w:styleId="CommentText">
    <w:name w:val="annotation text"/>
    <w:basedOn w:val="Normal"/>
    <w:link w:val="CommentTextChar"/>
    <w:uiPriority w:val="99"/>
    <w:semiHidden/>
    <w:unhideWhenUsed/>
    <w:rsid w:val="00C91285"/>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C9128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1285"/>
    <w:rPr>
      <w:b/>
      <w:bCs/>
    </w:rPr>
  </w:style>
  <w:style w:type="character" w:customStyle="1" w:styleId="CommentSubjectChar">
    <w:name w:val="Comment Subject Char"/>
    <w:basedOn w:val="CommentTextChar"/>
    <w:link w:val="CommentSubject"/>
    <w:uiPriority w:val="99"/>
    <w:semiHidden/>
    <w:rsid w:val="00C91285"/>
    <w:rPr>
      <w:rFonts w:ascii="Calibri" w:eastAsia="Calibri" w:hAnsi="Calibri" w:cs="Times New Roman"/>
      <w:b/>
      <w:bCs/>
      <w:sz w:val="20"/>
      <w:szCs w:val="20"/>
    </w:rPr>
  </w:style>
  <w:style w:type="paragraph" w:styleId="NoSpacing">
    <w:name w:val="No Spacing"/>
    <w:uiPriority w:val="1"/>
    <w:qFormat/>
    <w:rsid w:val="0006287D"/>
    <w:rPr>
      <w:rFonts w:ascii="Calibri" w:eastAsia="Calibri" w:hAnsi="Calibri" w:cs="Times New Roman"/>
      <w:sz w:val="22"/>
      <w:szCs w:val="22"/>
    </w:rPr>
  </w:style>
  <w:style w:type="paragraph" w:customStyle="1" w:styleId="EndNoteBibliographyTitle">
    <w:name w:val="EndNote Bibliography Title"/>
    <w:basedOn w:val="Normal"/>
    <w:rsid w:val="00A4255F"/>
    <w:pPr>
      <w:spacing w:line="276" w:lineRule="auto"/>
      <w:jc w:val="center"/>
    </w:pPr>
    <w:rPr>
      <w:rFonts w:ascii="Calibri" w:eastAsia="Calibri" w:hAnsi="Calibri"/>
      <w:sz w:val="22"/>
      <w:szCs w:val="22"/>
      <w:lang w:val="en-US"/>
    </w:rPr>
  </w:style>
  <w:style w:type="paragraph" w:customStyle="1" w:styleId="EndNoteBibliography">
    <w:name w:val="EndNote Bibliography"/>
    <w:basedOn w:val="Normal"/>
    <w:rsid w:val="00A4255F"/>
    <w:pPr>
      <w:spacing w:after="200"/>
    </w:pPr>
    <w:rPr>
      <w:rFonts w:ascii="Calibri" w:eastAsia="Calibri" w:hAnsi="Calibri"/>
      <w:sz w:val="22"/>
      <w:szCs w:val="22"/>
      <w:lang w:val="en-US"/>
    </w:rPr>
  </w:style>
  <w:style w:type="character" w:styleId="PlaceholderText">
    <w:name w:val="Placeholder Text"/>
    <w:basedOn w:val="DefaultParagraphFont"/>
    <w:uiPriority w:val="99"/>
    <w:semiHidden/>
    <w:rsid w:val="0079755C"/>
    <w:rPr>
      <w:color w:val="808080"/>
    </w:rPr>
  </w:style>
  <w:style w:type="character" w:customStyle="1" w:styleId="m-3407465734432747039s1">
    <w:name w:val="m_-3407465734432747039s1"/>
    <w:basedOn w:val="DefaultParagraphFont"/>
    <w:rsid w:val="00AA68AC"/>
  </w:style>
  <w:style w:type="paragraph" w:styleId="Header">
    <w:name w:val="header"/>
    <w:basedOn w:val="Normal"/>
    <w:link w:val="HeaderChar"/>
    <w:uiPriority w:val="99"/>
    <w:unhideWhenUsed/>
    <w:rsid w:val="00E454A4"/>
    <w:pPr>
      <w:tabs>
        <w:tab w:val="center" w:pos="4680"/>
        <w:tab w:val="right" w:pos="9360"/>
      </w:tabs>
    </w:pPr>
  </w:style>
  <w:style w:type="character" w:customStyle="1" w:styleId="HeaderChar">
    <w:name w:val="Header Char"/>
    <w:basedOn w:val="DefaultParagraphFont"/>
    <w:link w:val="Header"/>
    <w:uiPriority w:val="99"/>
    <w:rsid w:val="00E454A4"/>
    <w:rPr>
      <w:rFonts w:ascii="Times New Roman" w:eastAsia="Times New Roman" w:hAnsi="Times New Roman" w:cs="Times New Roman"/>
      <w:lang w:val="en-AU"/>
    </w:rPr>
  </w:style>
  <w:style w:type="paragraph" w:styleId="Footer">
    <w:name w:val="footer"/>
    <w:basedOn w:val="Normal"/>
    <w:link w:val="FooterChar"/>
    <w:uiPriority w:val="99"/>
    <w:unhideWhenUsed/>
    <w:rsid w:val="00E454A4"/>
    <w:pPr>
      <w:tabs>
        <w:tab w:val="center" w:pos="4680"/>
        <w:tab w:val="right" w:pos="9360"/>
      </w:tabs>
    </w:pPr>
  </w:style>
  <w:style w:type="character" w:customStyle="1" w:styleId="FooterChar">
    <w:name w:val="Footer Char"/>
    <w:basedOn w:val="DefaultParagraphFont"/>
    <w:link w:val="Footer"/>
    <w:uiPriority w:val="99"/>
    <w:rsid w:val="00E454A4"/>
    <w:rPr>
      <w:rFonts w:ascii="Times New Roman" w:eastAsia="Times New Roman" w:hAnsi="Times New Roman" w:cs="Times New Roman"/>
      <w:lang w:val="en-AU"/>
    </w:rPr>
  </w:style>
  <w:style w:type="character" w:styleId="IntenseEmphasis">
    <w:name w:val="Intense Emphasis"/>
    <w:basedOn w:val="DefaultParagraphFont"/>
    <w:uiPriority w:val="21"/>
    <w:qFormat/>
    <w:rsid w:val="009E7116"/>
    <w:rPr>
      <w:i/>
      <w:iCs/>
      <w:color w:val="5B9BD5" w:themeColor="accent1"/>
    </w:rPr>
  </w:style>
  <w:style w:type="character" w:customStyle="1" w:styleId="Heading3Char">
    <w:name w:val="Heading 3 Char"/>
    <w:basedOn w:val="DefaultParagraphFont"/>
    <w:link w:val="Heading3"/>
    <w:uiPriority w:val="9"/>
    <w:rsid w:val="009E7116"/>
    <w:rPr>
      <w:rFonts w:asciiTheme="majorHAnsi" w:eastAsiaTheme="majorEastAsia" w:hAnsiTheme="majorHAnsi" w:cstheme="majorBidi"/>
      <w:color w:val="1F4D78" w:themeColor="accent1" w:themeShade="7F"/>
      <w:lang w:val="en-AU"/>
    </w:rPr>
  </w:style>
  <w:style w:type="character" w:customStyle="1" w:styleId="Heading4Char">
    <w:name w:val="Heading 4 Char"/>
    <w:basedOn w:val="DefaultParagraphFont"/>
    <w:link w:val="Heading4"/>
    <w:uiPriority w:val="9"/>
    <w:rsid w:val="009E7116"/>
    <w:rPr>
      <w:rFonts w:asciiTheme="majorHAnsi" w:eastAsiaTheme="majorEastAsia" w:hAnsiTheme="majorHAnsi" w:cstheme="majorBidi"/>
      <w:i/>
      <w:iCs/>
      <w:color w:val="2E74B5" w:themeColor="accent1" w:themeShade="BF"/>
      <w:lang w:val="en-AU"/>
    </w:rPr>
  </w:style>
  <w:style w:type="character" w:customStyle="1" w:styleId="ListParagraphChar">
    <w:name w:val="List Paragraph Char"/>
    <w:basedOn w:val="DefaultParagraphFont"/>
    <w:link w:val="ListParagraph"/>
    <w:uiPriority w:val="34"/>
    <w:rsid w:val="002E76BA"/>
    <w:rPr>
      <w:rFonts w:ascii="Calibri" w:eastAsia="Calibri" w:hAnsi="Calibri"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9904">
      <w:bodyDiv w:val="1"/>
      <w:marLeft w:val="0"/>
      <w:marRight w:val="0"/>
      <w:marTop w:val="0"/>
      <w:marBottom w:val="0"/>
      <w:divBdr>
        <w:top w:val="none" w:sz="0" w:space="0" w:color="auto"/>
        <w:left w:val="none" w:sz="0" w:space="0" w:color="auto"/>
        <w:bottom w:val="none" w:sz="0" w:space="0" w:color="auto"/>
        <w:right w:val="none" w:sz="0" w:space="0" w:color="auto"/>
      </w:divBdr>
    </w:div>
    <w:div w:id="790823134">
      <w:bodyDiv w:val="1"/>
      <w:marLeft w:val="0"/>
      <w:marRight w:val="0"/>
      <w:marTop w:val="0"/>
      <w:marBottom w:val="0"/>
      <w:divBdr>
        <w:top w:val="none" w:sz="0" w:space="0" w:color="auto"/>
        <w:left w:val="none" w:sz="0" w:space="0" w:color="auto"/>
        <w:bottom w:val="none" w:sz="0" w:space="0" w:color="auto"/>
        <w:right w:val="none" w:sz="0" w:space="0" w:color="auto"/>
      </w:divBdr>
    </w:div>
    <w:div w:id="156267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warn.org/sites/default/files/ClinicalDMSAP.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66CCAF6B68984D926954675AF8E043" ma:contentTypeVersion="13" ma:contentTypeDescription="Create a new document." ma:contentTypeScope="" ma:versionID="816a2fb11433ef94d75b85396ea6bf3d">
  <xsd:schema xmlns:xsd="http://www.w3.org/2001/XMLSchema" xmlns:xs="http://www.w3.org/2001/XMLSchema" xmlns:p="http://schemas.microsoft.com/office/2006/metadata/properties" xmlns:ns3="a9b39c9a-099a-48be-93f5-cfe9e6197e9d" xmlns:ns4="dc312452-b454-4b3b-beca-7e534b003adf" targetNamespace="http://schemas.microsoft.com/office/2006/metadata/properties" ma:root="true" ma:fieldsID="92de64dddf3b2ef1cb85f39e89f10e30" ns3:_="" ns4:_="">
    <xsd:import namespace="a9b39c9a-099a-48be-93f5-cfe9e6197e9d"/>
    <xsd:import namespace="dc312452-b454-4b3b-beca-7e534b003a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39c9a-099a-48be-93f5-cfe9e6197e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12452-b454-4b3b-beca-7e534b003a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C7943F-17EA-E949-B41E-62A40AC94E99}">
  <ds:schemaRefs>
    <ds:schemaRef ds:uri="http://schemas.openxmlformats.org/officeDocument/2006/bibliography"/>
  </ds:schemaRefs>
</ds:datastoreItem>
</file>

<file path=customXml/itemProps2.xml><?xml version="1.0" encoding="utf-8"?>
<ds:datastoreItem xmlns:ds="http://schemas.openxmlformats.org/officeDocument/2006/customXml" ds:itemID="{87B40DEC-7142-48DD-A9F9-4793513C6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39c9a-099a-48be-93f5-cfe9e6197e9d"/>
    <ds:schemaRef ds:uri="dc312452-b454-4b3b-beca-7e534b003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EC2371-98AD-4EE1-B5CA-B8B325726A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4B666B-331D-4CCC-AAA8-2AB5A32209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10475</Words>
  <Characters>59713</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70048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Commons</dc:creator>
  <cp:lastModifiedBy>Rob Commons</cp:lastModifiedBy>
  <cp:revision>4</cp:revision>
  <dcterms:created xsi:type="dcterms:W3CDTF">2021-08-16T23:13:00Z</dcterms:created>
  <dcterms:modified xsi:type="dcterms:W3CDTF">2021-08-16T23:21:00Z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91f43666-9656-3e1e-920e-8bb3f117124e</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http://www.zotero.org/styles/harvard-the-university-of-melbourne</vt:lpwstr>
  </property>
  <property fmtid="{D5CDD505-2E9C-101B-9397-08002B2CF9AE}" pid="22" name="Mendeley Recent Style Name 8_1">
    <vt:lpwstr>The University of Melbourne - Harvard</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0x0101005066CCAF6B68984D926954675AF8E043</vt:lpwstr>
  </property>
</Properties>
</file>