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D508E" w14:textId="77777777" w:rsidR="00457F3C" w:rsidRPr="003F41FF" w:rsidRDefault="00457F3C" w:rsidP="00457F3C">
      <w:pPr>
        <w:rPr>
          <w:color w:val="0070C0"/>
          <w:sz w:val="21"/>
          <w:lang w:val="en-AU"/>
        </w:rPr>
      </w:pPr>
      <w:bookmarkStart w:id="0" w:name="_GoBack"/>
      <w:bookmarkEnd w:id="0"/>
    </w:p>
    <w:p w14:paraId="34A82570" w14:textId="77777777" w:rsidR="00457F3C" w:rsidRPr="003F41FF" w:rsidRDefault="00457F3C" w:rsidP="00457F3C">
      <w:pPr>
        <w:pStyle w:val="Default"/>
        <w:rPr>
          <w:b/>
          <w:bCs/>
          <w:sz w:val="32"/>
          <w:szCs w:val="32"/>
          <w:lang w:val="en-AU"/>
        </w:rPr>
      </w:pPr>
    </w:p>
    <w:p w14:paraId="31B108F6" w14:textId="77777777" w:rsidR="00457F3C" w:rsidRPr="003F41FF" w:rsidRDefault="00457F3C" w:rsidP="00457F3C">
      <w:pPr>
        <w:pStyle w:val="Default"/>
        <w:rPr>
          <w:rFonts w:cstheme="minorBidi"/>
          <w:color w:val="auto"/>
          <w:lang w:val="en-AU"/>
        </w:rPr>
      </w:pPr>
    </w:p>
    <w:p w14:paraId="6FB1A5F2" w14:textId="77777777" w:rsidR="00457F3C" w:rsidRDefault="00457F3C" w:rsidP="00457F3C">
      <w:pPr>
        <w:rPr>
          <w:color w:val="000000" w:themeColor="text1"/>
          <w:lang w:val="en-AU"/>
        </w:rPr>
      </w:pPr>
    </w:p>
    <w:p w14:paraId="0D383A4A" w14:textId="77777777" w:rsidR="00457F3C" w:rsidRPr="003F41FF" w:rsidRDefault="00457F3C" w:rsidP="00457F3C">
      <w:pPr>
        <w:rPr>
          <w:color w:val="000000" w:themeColor="text1"/>
          <w:lang w:val="en-AU"/>
        </w:rPr>
      </w:pPr>
    </w:p>
    <w:p w14:paraId="4120E8A6" w14:textId="77777777" w:rsidR="00457F3C" w:rsidRPr="003F41FF" w:rsidRDefault="00457F3C" w:rsidP="00457F3C">
      <w:pPr>
        <w:rPr>
          <w:color w:val="000000" w:themeColor="text1"/>
          <w:lang w:val="en-AU"/>
        </w:rPr>
      </w:pPr>
    </w:p>
    <w:p w14:paraId="2689F1E3" w14:textId="77777777" w:rsidR="00457F3C" w:rsidRPr="003F41FF" w:rsidRDefault="00457F3C" w:rsidP="00457F3C">
      <w:pPr>
        <w:rPr>
          <w:color w:val="000000" w:themeColor="text1"/>
          <w:lang w:val="en-AU"/>
        </w:rPr>
      </w:pPr>
    </w:p>
    <w:p w14:paraId="1511532E" w14:textId="77777777" w:rsidR="00457F3C" w:rsidRPr="003F41FF" w:rsidRDefault="00457F3C" w:rsidP="00457F3C">
      <w:pPr>
        <w:rPr>
          <w:color w:val="000000" w:themeColor="text1"/>
          <w:lang w:val="en-AU"/>
        </w:rPr>
      </w:pPr>
      <w:r w:rsidRPr="003F41FF">
        <w:rPr>
          <w:noProof/>
          <w:color w:val="000000" w:themeColor="text1"/>
          <w:lang w:val="en-GB" w:eastAsia="en-GB"/>
        </w:rPr>
        <mc:AlternateContent>
          <mc:Choice Requires="wps">
            <w:drawing>
              <wp:anchor distT="0" distB="0" distL="114300" distR="114300" simplePos="0" relativeHeight="251659264" behindDoc="1" locked="0" layoutInCell="1" allowOverlap="1" wp14:anchorId="435E9F36" wp14:editId="200EBD86">
                <wp:simplePos x="0" y="0"/>
                <wp:positionH relativeFrom="page">
                  <wp:posOffset>-70485</wp:posOffset>
                </wp:positionH>
                <wp:positionV relativeFrom="paragraph">
                  <wp:posOffset>71755</wp:posOffset>
                </wp:positionV>
                <wp:extent cx="9258300" cy="1600200"/>
                <wp:effectExtent l="0" t="0" r="12700"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8300" cy="1600200"/>
                        </a:xfrm>
                        <a:prstGeom prst="rect">
                          <a:avLst/>
                        </a:prstGeom>
                        <a:solidFill>
                          <a:srgbClr val="519B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87E6DB" id="Rectangle 2" o:spid="_x0000_s1026" style="position:absolute;margin-left:-5.55pt;margin-top:5.65pt;width:729pt;height:12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" fillcolor="#519bd0" stroked="f">
                <w10:wrap anchorx="page"/>
              </v:rect>
            </w:pict>
          </mc:Fallback>
        </mc:AlternateContent>
      </w:r>
    </w:p>
    <w:p w14:paraId="54B0CAA6" w14:textId="77777777" w:rsidR="00457F3C" w:rsidRPr="003F41FF" w:rsidRDefault="00457F3C" w:rsidP="00457F3C">
      <w:pPr>
        <w:pStyle w:val="CoverPageTitle"/>
        <w:rPr>
          <w:rFonts w:asciiTheme="minorHAnsi" w:hAnsiTheme="minorHAnsi"/>
          <w:color w:val="000000" w:themeColor="text1"/>
          <w:lang w:val="en-AU"/>
        </w:rPr>
      </w:pPr>
      <w:r w:rsidRPr="003F41FF">
        <w:rPr>
          <w:rFonts w:asciiTheme="minorHAnsi" w:hAnsiTheme="minorHAnsi"/>
          <w:color w:val="000000" w:themeColor="text1"/>
          <w:lang w:val="en-AU"/>
        </w:rPr>
        <w:t xml:space="preserve">Statistical Analysis Plan </w:t>
      </w:r>
    </w:p>
    <w:p w14:paraId="1D5B3253" w14:textId="77777777" w:rsidR="00457F3C" w:rsidRPr="003F41FF" w:rsidRDefault="00457F3C" w:rsidP="00457F3C">
      <w:pPr>
        <w:pStyle w:val="CoverPageTitle"/>
        <w:rPr>
          <w:rFonts w:asciiTheme="minorHAnsi" w:hAnsiTheme="minorHAnsi"/>
          <w:color w:val="000000" w:themeColor="text1"/>
          <w:lang w:val="en-AU"/>
        </w:rPr>
      </w:pPr>
      <w:r w:rsidRPr="003F41FF">
        <w:rPr>
          <w:rFonts w:asciiTheme="minorHAnsi" w:hAnsiTheme="minorHAnsi"/>
          <w:color w:val="000000" w:themeColor="text1"/>
          <w:lang w:val="en-AU"/>
        </w:rPr>
        <w:t xml:space="preserve">WWARN </w:t>
      </w:r>
      <w:r w:rsidRPr="003F41FF">
        <w:rPr>
          <w:bCs/>
          <w:color w:val="000000" w:themeColor="text1"/>
          <w:szCs w:val="32"/>
          <w:lang w:val="en-AU"/>
        </w:rPr>
        <w:t>Vivax Recurrence Study Group</w:t>
      </w:r>
      <w:r w:rsidRPr="003F41FF">
        <w:rPr>
          <w:rFonts w:asciiTheme="minorHAnsi" w:hAnsiTheme="minorHAnsi"/>
          <w:color w:val="000000" w:themeColor="text1"/>
          <w:lang w:val="en-AU"/>
        </w:rPr>
        <w:t xml:space="preserve">: A pooled analysis investigating the effect of mg/kg drug dosage on </w:t>
      </w:r>
      <w:r w:rsidRPr="003F41FF">
        <w:rPr>
          <w:rFonts w:asciiTheme="minorHAnsi" w:hAnsiTheme="minorHAnsi"/>
          <w:i/>
          <w:color w:val="000000" w:themeColor="text1"/>
          <w:lang w:val="en-AU"/>
        </w:rPr>
        <w:t xml:space="preserve">Plasmodium vivax </w:t>
      </w:r>
      <w:r w:rsidRPr="003F41FF">
        <w:rPr>
          <w:rFonts w:asciiTheme="minorHAnsi" w:hAnsiTheme="minorHAnsi"/>
          <w:color w:val="000000" w:themeColor="text1"/>
          <w:lang w:val="en-AU"/>
        </w:rPr>
        <w:t xml:space="preserve">recurrence </w:t>
      </w:r>
    </w:p>
    <w:p w14:paraId="4EA662D5" w14:textId="4DD48254" w:rsidR="00457F3C" w:rsidRPr="003F41FF" w:rsidRDefault="001D51F9" w:rsidP="00457F3C">
      <w:pPr>
        <w:pStyle w:val="CoverPageTitle"/>
        <w:rPr>
          <w:rFonts w:asciiTheme="minorHAnsi" w:hAnsiTheme="minorHAnsi"/>
          <w:color w:val="000000" w:themeColor="text1"/>
          <w:lang w:val="en-AU"/>
        </w:rPr>
      </w:pPr>
      <w:r>
        <w:rPr>
          <w:rFonts w:asciiTheme="minorHAnsi" w:hAnsiTheme="minorHAnsi"/>
          <w:color w:val="000000" w:themeColor="text1"/>
          <w:lang w:val="en-AU"/>
        </w:rPr>
        <w:t>Version 1.2</w:t>
      </w:r>
    </w:p>
    <w:p w14:paraId="602A668F" w14:textId="77777777" w:rsidR="00457F3C" w:rsidRPr="003F41FF" w:rsidRDefault="00457F3C" w:rsidP="00457F3C">
      <w:pPr>
        <w:pStyle w:val="CoverPageWhiteText"/>
        <w:rPr>
          <w:rFonts w:asciiTheme="minorHAnsi" w:hAnsiTheme="minorHAnsi"/>
          <w:color w:val="000000" w:themeColor="text1"/>
          <w:lang w:val="en-AU"/>
        </w:rPr>
      </w:pPr>
    </w:p>
    <w:p w14:paraId="55AD6C57" w14:textId="77777777" w:rsidR="00457F3C" w:rsidRPr="003F41FF" w:rsidRDefault="00457F3C" w:rsidP="00457F3C">
      <w:pPr>
        <w:pStyle w:val="CoverPageWhiteText"/>
        <w:rPr>
          <w:rFonts w:asciiTheme="minorHAnsi" w:hAnsiTheme="minorHAnsi"/>
          <w:color w:val="000000" w:themeColor="text1"/>
          <w:lang w:val="en-AU"/>
        </w:rPr>
      </w:pPr>
    </w:p>
    <w:p w14:paraId="79223120" w14:textId="77777777" w:rsidR="00457F3C" w:rsidRPr="003F41FF" w:rsidRDefault="00457F3C" w:rsidP="00457F3C">
      <w:pPr>
        <w:pStyle w:val="SectionSubtitle"/>
        <w:rPr>
          <w:rFonts w:asciiTheme="minorHAnsi" w:hAnsiTheme="minorHAnsi"/>
          <w:color w:val="000000" w:themeColor="text1"/>
          <w:lang w:val="en-AU"/>
        </w:rPr>
      </w:pPr>
    </w:p>
    <w:p w14:paraId="2FC38B91" w14:textId="77777777" w:rsidR="00457F3C" w:rsidRPr="003F41FF" w:rsidRDefault="00457F3C" w:rsidP="00457F3C">
      <w:pPr>
        <w:pStyle w:val="Default"/>
        <w:rPr>
          <w:b/>
          <w:bCs/>
          <w:sz w:val="28"/>
          <w:szCs w:val="28"/>
          <w:lang w:val="en-AU"/>
        </w:rPr>
      </w:pPr>
    </w:p>
    <w:p w14:paraId="7BCE05BA" w14:textId="77777777" w:rsidR="00457F3C" w:rsidRPr="003F41FF" w:rsidRDefault="00457F3C" w:rsidP="00457F3C">
      <w:pPr>
        <w:pStyle w:val="Default"/>
        <w:rPr>
          <w:b/>
          <w:bCs/>
          <w:sz w:val="28"/>
          <w:szCs w:val="28"/>
          <w:lang w:val="en-AU"/>
        </w:rPr>
      </w:pPr>
    </w:p>
    <w:p w14:paraId="29BE986C" w14:textId="77777777" w:rsidR="00457F3C" w:rsidRPr="003F41FF" w:rsidRDefault="00457F3C" w:rsidP="00457F3C">
      <w:pPr>
        <w:pStyle w:val="Default"/>
        <w:rPr>
          <w:b/>
          <w:bCs/>
          <w:sz w:val="28"/>
          <w:szCs w:val="28"/>
          <w:lang w:val="en-AU"/>
        </w:rPr>
      </w:pPr>
    </w:p>
    <w:p w14:paraId="0FEA37C9" w14:textId="77777777" w:rsidR="00457F3C" w:rsidRPr="003F41FF" w:rsidRDefault="00457F3C" w:rsidP="00457F3C">
      <w:pPr>
        <w:pStyle w:val="Default"/>
        <w:rPr>
          <w:b/>
          <w:bCs/>
          <w:sz w:val="28"/>
          <w:szCs w:val="28"/>
          <w:lang w:val="en-AU"/>
        </w:rPr>
      </w:pPr>
    </w:p>
    <w:p w14:paraId="276AD79D" w14:textId="77777777" w:rsidR="00457F3C" w:rsidRPr="003F41FF" w:rsidRDefault="00457F3C" w:rsidP="00457F3C">
      <w:pPr>
        <w:pStyle w:val="Default"/>
        <w:rPr>
          <w:b/>
          <w:bCs/>
          <w:sz w:val="28"/>
          <w:szCs w:val="28"/>
          <w:lang w:val="en-AU"/>
        </w:rPr>
      </w:pPr>
    </w:p>
    <w:p w14:paraId="48DE6159" w14:textId="77777777" w:rsidR="00457F3C" w:rsidRPr="003F41FF" w:rsidRDefault="00457F3C" w:rsidP="00457F3C">
      <w:pPr>
        <w:pStyle w:val="Default"/>
        <w:rPr>
          <w:b/>
          <w:bCs/>
          <w:sz w:val="28"/>
          <w:szCs w:val="28"/>
          <w:lang w:val="en-AU"/>
        </w:rPr>
      </w:pPr>
    </w:p>
    <w:p w14:paraId="16497FD5" w14:textId="77777777" w:rsidR="00457F3C" w:rsidRPr="003F41FF" w:rsidRDefault="00457F3C" w:rsidP="00457F3C">
      <w:pPr>
        <w:pStyle w:val="Default"/>
        <w:rPr>
          <w:b/>
          <w:bCs/>
          <w:sz w:val="28"/>
          <w:szCs w:val="28"/>
          <w:lang w:val="en-AU"/>
        </w:rPr>
      </w:pPr>
    </w:p>
    <w:p w14:paraId="1CB9C275" w14:textId="77777777" w:rsidR="00457F3C" w:rsidRPr="003F41FF" w:rsidRDefault="00457F3C" w:rsidP="00457F3C">
      <w:pPr>
        <w:pStyle w:val="Default"/>
        <w:rPr>
          <w:b/>
          <w:bCs/>
          <w:sz w:val="28"/>
          <w:szCs w:val="28"/>
          <w:lang w:val="en-AU"/>
        </w:rPr>
      </w:pPr>
    </w:p>
    <w:p w14:paraId="1D65BF33" w14:textId="77777777" w:rsidR="00457F3C" w:rsidRPr="003F41FF" w:rsidRDefault="00457F3C" w:rsidP="00457F3C">
      <w:pPr>
        <w:pStyle w:val="Default"/>
        <w:rPr>
          <w:b/>
          <w:bCs/>
          <w:sz w:val="28"/>
          <w:szCs w:val="28"/>
          <w:lang w:val="en-AU"/>
        </w:rPr>
      </w:pPr>
    </w:p>
    <w:p w14:paraId="6364BFF2" w14:textId="77777777" w:rsidR="00457F3C" w:rsidRPr="003F41FF" w:rsidRDefault="00457F3C" w:rsidP="00457F3C">
      <w:pPr>
        <w:pStyle w:val="Default"/>
        <w:rPr>
          <w:b/>
          <w:bCs/>
          <w:sz w:val="28"/>
          <w:szCs w:val="28"/>
          <w:lang w:val="en-AU"/>
        </w:rPr>
      </w:pPr>
    </w:p>
    <w:p w14:paraId="2B249E80" w14:textId="77777777" w:rsidR="00457F3C" w:rsidRPr="003F41FF" w:rsidRDefault="00457F3C" w:rsidP="00457F3C">
      <w:pPr>
        <w:pStyle w:val="Default"/>
        <w:rPr>
          <w:b/>
          <w:bCs/>
          <w:sz w:val="28"/>
          <w:szCs w:val="28"/>
          <w:lang w:val="en-AU"/>
        </w:rPr>
      </w:pPr>
    </w:p>
    <w:p w14:paraId="36E16A72" w14:textId="77777777" w:rsidR="00457F3C" w:rsidRPr="003F41FF" w:rsidRDefault="00457F3C" w:rsidP="00457F3C">
      <w:pPr>
        <w:pStyle w:val="Default"/>
        <w:rPr>
          <w:b/>
          <w:bCs/>
          <w:sz w:val="28"/>
          <w:szCs w:val="28"/>
          <w:lang w:val="en-AU"/>
        </w:rPr>
      </w:pPr>
    </w:p>
    <w:p w14:paraId="00BD5802" w14:textId="77777777" w:rsidR="00457F3C" w:rsidRPr="003F41FF" w:rsidRDefault="00457F3C" w:rsidP="00457F3C">
      <w:pPr>
        <w:pStyle w:val="Default"/>
        <w:rPr>
          <w:b/>
          <w:bCs/>
          <w:sz w:val="28"/>
          <w:szCs w:val="28"/>
          <w:lang w:val="en-AU"/>
        </w:rPr>
      </w:pPr>
    </w:p>
    <w:p w14:paraId="7AE5E7DD" w14:textId="77777777" w:rsidR="00457F3C" w:rsidRPr="003F41FF" w:rsidRDefault="00457F3C" w:rsidP="00457F3C">
      <w:pPr>
        <w:pStyle w:val="Default"/>
        <w:rPr>
          <w:b/>
          <w:bCs/>
          <w:sz w:val="28"/>
          <w:szCs w:val="28"/>
          <w:lang w:val="en-AU"/>
        </w:rPr>
      </w:pPr>
    </w:p>
    <w:p w14:paraId="60FD10C1" w14:textId="77777777" w:rsidR="00457F3C" w:rsidRPr="003F41FF" w:rsidRDefault="00457F3C" w:rsidP="00457F3C">
      <w:pPr>
        <w:pStyle w:val="Default"/>
        <w:rPr>
          <w:b/>
          <w:bCs/>
          <w:sz w:val="28"/>
          <w:szCs w:val="28"/>
          <w:lang w:val="en-AU"/>
        </w:rPr>
      </w:pPr>
    </w:p>
    <w:p w14:paraId="6778B113" w14:textId="77777777" w:rsidR="00457F3C" w:rsidRPr="003F41FF" w:rsidRDefault="00457F3C" w:rsidP="00457F3C">
      <w:pPr>
        <w:pStyle w:val="Default"/>
        <w:rPr>
          <w:b/>
          <w:bCs/>
          <w:sz w:val="28"/>
          <w:szCs w:val="28"/>
          <w:lang w:val="en-AU"/>
        </w:rPr>
      </w:pPr>
    </w:p>
    <w:p w14:paraId="1C2E1480" w14:textId="77777777" w:rsidR="00457F3C" w:rsidRPr="003F41FF" w:rsidRDefault="00457F3C" w:rsidP="00457F3C">
      <w:pPr>
        <w:pStyle w:val="Default"/>
        <w:rPr>
          <w:b/>
          <w:bCs/>
          <w:sz w:val="28"/>
          <w:szCs w:val="28"/>
          <w:lang w:val="en-AU"/>
        </w:rPr>
      </w:pPr>
    </w:p>
    <w:p w14:paraId="2ED529E0" w14:textId="77777777" w:rsidR="00457F3C" w:rsidRPr="003F41FF" w:rsidRDefault="00457F3C" w:rsidP="00457F3C">
      <w:pPr>
        <w:pStyle w:val="Default"/>
        <w:rPr>
          <w:b/>
          <w:bCs/>
          <w:sz w:val="28"/>
          <w:szCs w:val="28"/>
          <w:lang w:val="en-AU"/>
        </w:rPr>
      </w:pPr>
    </w:p>
    <w:p w14:paraId="42B432C4" w14:textId="77777777" w:rsidR="00457F3C" w:rsidRPr="003F41FF" w:rsidRDefault="00457F3C" w:rsidP="00457F3C">
      <w:pPr>
        <w:pStyle w:val="Default"/>
        <w:rPr>
          <w:b/>
          <w:bCs/>
          <w:sz w:val="28"/>
          <w:szCs w:val="28"/>
          <w:lang w:val="en-AU"/>
        </w:rPr>
      </w:pPr>
    </w:p>
    <w:p w14:paraId="160C727B" w14:textId="77777777" w:rsidR="00457F3C" w:rsidRPr="003F41FF" w:rsidRDefault="00457F3C" w:rsidP="00457F3C">
      <w:pPr>
        <w:pStyle w:val="Default"/>
        <w:rPr>
          <w:rFonts w:cstheme="minorBidi"/>
          <w:color w:val="auto"/>
          <w:lang w:val="en-AU"/>
        </w:rPr>
      </w:pPr>
      <w:r w:rsidRPr="003F41FF">
        <w:rPr>
          <w:b/>
          <w:bCs/>
          <w:sz w:val="28"/>
          <w:szCs w:val="28"/>
          <w:lang w:val="en-AU"/>
        </w:rPr>
        <w:t>WorldWide Antimalarial Resistance Network (WWARN)</w:t>
      </w:r>
    </w:p>
    <w:p w14:paraId="76909406" w14:textId="77777777" w:rsidR="00457F3C" w:rsidRPr="003F41FF" w:rsidRDefault="00457F3C" w:rsidP="00457F3C">
      <w:pPr>
        <w:pStyle w:val="Default"/>
        <w:rPr>
          <w:rFonts w:cstheme="minorBidi"/>
          <w:color w:val="auto"/>
          <w:lang w:val="en-AU"/>
        </w:rPr>
      </w:pPr>
    </w:p>
    <w:p w14:paraId="238BA4FD" w14:textId="77777777" w:rsidR="00457F3C" w:rsidRPr="003F41FF" w:rsidRDefault="00457F3C" w:rsidP="00457F3C">
      <w:pPr>
        <w:rPr>
          <w:b/>
          <w:bCs/>
          <w:sz w:val="23"/>
          <w:szCs w:val="23"/>
          <w:lang w:val="en-AU"/>
        </w:rPr>
      </w:pPr>
      <w:r w:rsidRPr="003F41FF">
        <w:rPr>
          <w:b/>
          <w:bCs/>
          <w:sz w:val="23"/>
          <w:szCs w:val="23"/>
          <w:lang w:val="en-AU"/>
        </w:rPr>
        <w:br w:type="page"/>
      </w:r>
    </w:p>
    <w:p w14:paraId="3F454CA9" w14:textId="77777777" w:rsidR="00457F3C" w:rsidRPr="003F41FF" w:rsidRDefault="00457F3C" w:rsidP="00457F3C">
      <w:pPr>
        <w:pStyle w:val="Default"/>
        <w:rPr>
          <w:rFonts w:cstheme="minorBidi"/>
          <w:b/>
          <w:bCs/>
          <w:color w:val="auto"/>
          <w:sz w:val="23"/>
          <w:szCs w:val="23"/>
          <w:lang w:val="en-AU"/>
        </w:rPr>
      </w:pPr>
    </w:p>
    <w:p w14:paraId="609AC58F" w14:textId="77777777" w:rsidR="00457F3C" w:rsidRPr="003F41FF" w:rsidRDefault="00457F3C" w:rsidP="00457F3C">
      <w:pPr>
        <w:pStyle w:val="Default"/>
        <w:rPr>
          <w:rFonts w:cstheme="minorBidi"/>
          <w:b/>
          <w:bCs/>
          <w:color w:val="auto"/>
          <w:sz w:val="23"/>
          <w:szCs w:val="23"/>
          <w:lang w:val="en-AU"/>
        </w:rPr>
      </w:pPr>
    </w:p>
    <w:p w14:paraId="2C99FACF" w14:textId="77777777" w:rsidR="00457F3C" w:rsidRPr="003F41FF" w:rsidRDefault="00457F3C" w:rsidP="00457F3C">
      <w:pPr>
        <w:pStyle w:val="Default"/>
        <w:rPr>
          <w:rFonts w:cstheme="minorBidi"/>
          <w:b/>
          <w:bCs/>
          <w:color w:val="auto"/>
          <w:sz w:val="23"/>
          <w:szCs w:val="23"/>
          <w:lang w:val="en-AU"/>
        </w:rPr>
      </w:pPr>
    </w:p>
    <w:p w14:paraId="2A379458" w14:textId="77777777" w:rsidR="00457F3C" w:rsidRPr="003F41FF" w:rsidRDefault="00457F3C" w:rsidP="00457F3C">
      <w:pPr>
        <w:pStyle w:val="Default"/>
        <w:rPr>
          <w:rFonts w:cstheme="minorBidi"/>
          <w:b/>
          <w:bCs/>
          <w:color w:val="auto"/>
          <w:sz w:val="23"/>
          <w:szCs w:val="23"/>
          <w:lang w:val="en-AU"/>
        </w:rPr>
      </w:pPr>
    </w:p>
    <w:p w14:paraId="3142AFD6" w14:textId="77777777" w:rsidR="00457F3C" w:rsidRPr="003F41FF" w:rsidRDefault="00457F3C" w:rsidP="00457F3C">
      <w:pPr>
        <w:pStyle w:val="Default"/>
        <w:rPr>
          <w:rFonts w:cstheme="minorBidi"/>
          <w:b/>
          <w:bCs/>
          <w:color w:val="auto"/>
          <w:sz w:val="23"/>
          <w:szCs w:val="23"/>
          <w:lang w:val="en-AU"/>
        </w:rPr>
      </w:pPr>
    </w:p>
    <w:p w14:paraId="66608399" w14:textId="77777777" w:rsidR="00457F3C" w:rsidRPr="003F41FF" w:rsidRDefault="00457F3C" w:rsidP="00457F3C">
      <w:pPr>
        <w:pStyle w:val="Default"/>
        <w:rPr>
          <w:rFonts w:cstheme="minorBidi"/>
          <w:b/>
          <w:bCs/>
          <w:color w:val="auto"/>
          <w:sz w:val="23"/>
          <w:szCs w:val="23"/>
          <w:lang w:val="en-AU"/>
        </w:rPr>
      </w:pPr>
    </w:p>
    <w:p w14:paraId="1FA58323" w14:textId="77777777" w:rsidR="00457F3C" w:rsidRPr="003F41FF" w:rsidRDefault="00457F3C" w:rsidP="00457F3C">
      <w:pPr>
        <w:pStyle w:val="Default"/>
        <w:rPr>
          <w:rFonts w:cstheme="minorBidi"/>
          <w:b/>
          <w:bCs/>
          <w:color w:val="auto"/>
          <w:sz w:val="23"/>
          <w:szCs w:val="23"/>
          <w:lang w:val="en-AU"/>
        </w:rPr>
      </w:pPr>
    </w:p>
    <w:p w14:paraId="2BA4A78A" w14:textId="77777777" w:rsidR="00457F3C" w:rsidRPr="003F41FF" w:rsidRDefault="00457F3C" w:rsidP="00457F3C">
      <w:pPr>
        <w:pStyle w:val="Default"/>
        <w:rPr>
          <w:rFonts w:cstheme="minorBidi"/>
          <w:b/>
          <w:bCs/>
          <w:color w:val="auto"/>
          <w:sz w:val="23"/>
          <w:szCs w:val="23"/>
          <w:lang w:val="en-AU"/>
        </w:rPr>
      </w:pPr>
    </w:p>
    <w:p w14:paraId="66BC1A18" w14:textId="77777777" w:rsidR="00457F3C" w:rsidRPr="003F41FF" w:rsidRDefault="00457F3C" w:rsidP="00457F3C">
      <w:pPr>
        <w:pStyle w:val="Default"/>
        <w:rPr>
          <w:rFonts w:cstheme="minorBidi"/>
          <w:b/>
          <w:bCs/>
          <w:color w:val="auto"/>
          <w:sz w:val="23"/>
          <w:szCs w:val="23"/>
          <w:lang w:val="en-AU"/>
        </w:rPr>
      </w:pPr>
    </w:p>
    <w:p w14:paraId="5941F710" w14:textId="77777777" w:rsidR="00457F3C" w:rsidRPr="003F41FF" w:rsidRDefault="00457F3C" w:rsidP="00457F3C">
      <w:pPr>
        <w:pStyle w:val="Default"/>
        <w:rPr>
          <w:rFonts w:cstheme="minorBidi"/>
          <w:b/>
          <w:bCs/>
          <w:color w:val="auto"/>
          <w:sz w:val="23"/>
          <w:szCs w:val="23"/>
          <w:lang w:val="en-AU"/>
        </w:rPr>
      </w:pPr>
    </w:p>
    <w:p w14:paraId="52B013AD" w14:textId="77777777" w:rsidR="00457F3C" w:rsidRPr="003F41FF" w:rsidRDefault="00457F3C" w:rsidP="00457F3C">
      <w:pPr>
        <w:pStyle w:val="Default"/>
        <w:rPr>
          <w:rFonts w:cstheme="minorBidi"/>
          <w:b/>
          <w:bCs/>
          <w:color w:val="auto"/>
          <w:sz w:val="23"/>
          <w:szCs w:val="23"/>
          <w:lang w:val="en-AU"/>
        </w:rPr>
      </w:pPr>
    </w:p>
    <w:p w14:paraId="47EFBF25" w14:textId="77777777" w:rsidR="00457F3C" w:rsidRPr="003F41FF" w:rsidRDefault="00457F3C" w:rsidP="00457F3C">
      <w:pPr>
        <w:pStyle w:val="Default"/>
        <w:rPr>
          <w:rFonts w:cstheme="minorBidi"/>
          <w:b/>
          <w:bCs/>
          <w:color w:val="auto"/>
          <w:sz w:val="23"/>
          <w:szCs w:val="23"/>
          <w:lang w:val="en-AU"/>
        </w:rPr>
      </w:pPr>
    </w:p>
    <w:p w14:paraId="5384CC7A" w14:textId="77777777" w:rsidR="00457F3C" w:rsidRPr="003F41FF" w:rsidRDefault="00457F3C" w:rsidP="00457F3C">
      <w:pPr>
        <w:pStyle w:val="Default"/>
        <w:rPr>
          <w:rFonts w:cstheme="minorBidi"/>
          <w:b/>
          <w:bCs/>
          <w:color w:val="auto"/>
          <w:sz w:val="23"/>
          <w:szCs w:val="23"/>
          <w:lang w:val="en-AU"/>
        </w:rPr>
      </w:pPr>
    </w:p>
    <w:p w14:paraId="28A53C96" w14:textId="77777777" w:rsidR="00457F3C" w:rsidRPr="003F41FF" w:rsidRDefault="00457F3C" w:rsidP="00457F3C">
      <w:pPr>
        <w:pStyle w:val="Default"/>
        <w:rPr>
          <w:rFonts w:cstheme="minorBidi"/>
          <w:b/>
          <w:bCs/>
          <w:color w:val="auto"/>
          <w:sz w:val="23"/>
          <w:szCs w:val="23"/>
          <w:lang w:val="en-AU"/>
        </w:rPr>
      </w:pPr>
    </w:p>
    <w:p w14:paraId="66121F48" w14:textId="77777777" w:rsidR="00457F3C" w:rsidRPr="003F41FF" w:rsidRDefault="00457F3C" w:rsidP="00457F3C">
      <w:pPr>
        <w:pStyle w:val="Default"/>
        <w:rPr>
          <w:rFonts w:cstheme="minorBidi"/>
          <w:b/>
          <w:bCs/>
          <w:color w:val="auto"/>
          <w:sz w:val="23"/>
          <w:szCs w:val="23"/>
          <w:lang w:val="en-AU"/>
        </w:rPr>
      </w:pPr>
    </w:p>
    <w:p w14:paraId="6046F05C" w14:textId="77777777" w:rsidR="00457F3C" w:rsidRPr="003F41FF" w:rsidRDefault="00457F3C" w:rsidP="00457F3C">
      <w:pPr>
        <w:pStyle w:val="Default"/>
        <w:rPr>
          <w:rFonts w:cstheme="minorBidi"/>
          <w:b/>
          <w:bCs/>
          <w:color w:val="auto"/>
          <w:sz w:val="23"/>
          <w:szCs w:val="23"/>
          <w:lang w:val="en-AU"/>
        </w:rPr>
      </w:pPr>
    </w:p>
    <w:p w14:paraId="1C7FE625" w14:textId="77777777" w:rsidR="00457F3C" w:rsidRPr="003F41FF" w:rsidRDefault="00457F3C" w:rsidP="00457F3C">
      <w:pPr>
        <w:pStyle w:val="Default"/>
        <w:rPr>
          <w:rFonts w:cstheme="minorBidi"/>
          <w:b/>
          <w:bCs/>
          <w:color w:val="auto"/>
          <w:sz w:val="23"/>
          <w:szCs w:val="23"/>
          <w:lang w:val="en-AU"/>
        </w:rPr>
      </w:pPr>
    </w:p>
    <w:p w14:paraId="71ACE26B" w14:textId="77777777" w:rsidR="00457F3C" w:rsidRPr="003F41FF" w:rsidRDefault="00457F3C" w:rsidP="00457F3C">
      <w:pPr>
        <w:pStyle w:val="Default"/>
        <w:rPr>
          <w:color w:val="auto"/>
          <w:sz w:val="23"/>
          <w:szCs w:val="23"/>
          <w:lang w:val="en-AU"/>
        </w:rPr>
      </w:pPr>
      <w:r w:rsidRPr="003F41FF">
        <w:rPr>
          <w:rFonts w:cstheme="minorBidi"/>
          <w:b/>
          <w:bCs/>
          <w:color w:val="auto"/>
          <w:sz w:val="23"/>
          <w:szCs w:val="23"/>
          <w:lang w:val="en-AU"/>
        </w:rPr>
        <w:t xml:space="preserve">Suggested citation: </w:t>
      </w:r>
      <w:r w:rsidRPr="003F41FF">
        <w:rPr>
          <w:color w:val="auto"/>
          <w:sz w:val="23"/>
          <w:szCs w:val="23"/>
          <w:lang w:val="en-AU"/>
        </w:rPr>
        <w:t xml:space="preserve">Statistical Analysis Plan, Vivax Recurrence Study Group: </w:t>
      </w:r>
    </w:p>
    <w:p w14:paraId="10771FEE" w14:textId="77777777" w:rsidR="00457F3C" w:rsidRPr="003F41FF" w:rsidRDefault="00457F3C" w:rsidP="00457F3C">
      <w:pPr>
        <w:pStyle w:val="Default"/>
        <w:rPr>
          <w:color w:val="auto"/>
          <w:sz w:val="23"/>
          <w:szCs w:val="23"/>
          <w:lang w:val="en-AU"/>
        </w:rPr>
      </w:pPr>
      <w:r w:rsidRPr="003F41FF">
        <w:rPr>
          <w:color w:val="auto"/>
          <w:sz w:val="23"/>
          <w:szCs w:val="23"/>
          <w:lang w:val="en-AU"/>
        </w:rPr>
        <w:t xml:space="preserve">A pooled analysis investigating the effect of mg/kg drug dosage on </w:t>
      </w:r>
      <w:r w:rsidRPr="003F41FF">
        <w:rPr>
          <w:i/>
          <w:color w:val="auto"/>
          <w:sz w:val="23"/>
          <w:szCs w:val="23"/>
          <w:lang w:val="en-AU"/>
        </w:rPr>
        <w:t>Plasmodium vivax</w:t>
      </w:r>
      <w:r w:rsidRPr="003F41FF">
        <w:rPr>
          <w:color w:val="auto"/>
          <w:sz w:val="23"/>
          <w:szCs w:val="23"/>
          <w:lang w:val="en-AU"/>
        </w:rPr>
        <w:t xml:space="preserve"> recurrence </w:t>
      </w:r>
    </w:p>
    <w:p w14:paraId="4510A715" w14:textId="77777777" w:rsidR="00457F3C" w:rsidRPr="003F41FF" w:rsidRDefault="00457F3C" w:rsidP="00457F3C">
      <w:pPr>
        <w:pStyle w:val="Default"/>
        <w:rPr>
          <w:color w:val="auto"/>
          <w:sz w:val="23"/>
          <w:szCs w:val="23"/>
          <w:lang w:val="en-AU"/>
        </w:rPr>
      </w:pPr>
    </w:p>
    <w:p w14:paraId="2AE69E42" w14:textId="77777777" w:rsidR="00457F3C" w:rsidRPr="003F41FF" w:rsidRDefault="00457F3C" w:rsidP="00457F3C">
      <w:pPr>
        <w:pStyle w:val="Default"/>
        <w:rPr>
          <w:color w:val="auto"/>
          <w:sz w:val="23"/>
          <w:szCs w:val="23"/>
          <w:lang w:val="en-AU"/>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04"/>
        <w:gridCol w:w="2552"/>
        <w:gridCol w:w="2495"/>
      </w:tblGrid>
      <w:tr w:rsidR="00457F3C" w:rsidRPr="003F41FF" w14:paraId="07D86144" w14:textId="77777777" w:rsidTr="00C91285">
        <w:trPr>
          <w:trHeight w:val="110"/>
        </w:trPr>
        <w:tc>
          <w:tcPr>
            <w:tcW w:w="2504" w:type="dxa"/>
          </w:tcPr>
          <w:p w14:paraId="6C520458" w14:textId="77777777" w:rsidR="00457F3C" w:rsidRPr="003F41FF" w:rsidRDefault="00457F3C" w:rsidP="00C91285">
            <w:pPr>
              <w:pStyle w:val="Default"/>
              <w:rPr>
                <w:sz w:val="22"/>
                <w:szCs w:val="22"/>
                <w:lang w:val="en-AU"/>
              </w:rPr>
            </w:pPr>
            <w:r w:rsidRPr="003F41FF">
              <w:rPr>
                <w:b/>
                <w:bCs/>
                <w:color w:val="auto"/>
                <w:sz w:val="23"/>
                <w:szCs w:val="23"/>
                <w:lang w:val="en-AU"/>
              </w:rPr>
              <w:t xml:space="preserve">Version History </w:t>
            </w:r>
            <w:r w:rsidRPr="003F41FF">
              <w:rPr>
                <w:b/>
                <w:bCs/>
                <w:sz w:val="22"/>
                <w:szCs w:val="22"/>
                <w:lang w:val="en-AU"/>
              </w:rPr>
              <w:t xml:space="preserve">Version number </w:t>
            </w:r>
          </w:p>
        </w:tc>
        <w:tc>
          <w:tcPr>
            <w:tcW w:w="2552" w:type="dxa"/>
          </w:tcPr>
          <w:p w14:paraId="217D90EB" w14:textId="77777777" w:rsidR="00457F3C" w:rsidRPr="003F41FF" w:rsidRDefault="00457F3C" w:rsidP="00C91285">
            <w:pPr>
              <w:pStyle w:val="Default"/>
              <w:rPr>
                <w:sz w:val="22"/>
                <w:szCs w:val="22"/>
                <w:lang w:val="en-AU"/>
              </w:rPr>
            </w:pPr>
            <w:r w:rsidRPr="003F41FF">
              <w:rPr>
                <w:b/>
                <w:bCs/>
                <w:sz w:val="22"/>
                <w:szCs w:val="22"/>
                <w:lang w:val="en-AU"/>
              </w:rPr>
              <w:t xml:space="preserve">Revision(s) &amp; reason for amendment </w:t>
            </w:r>
          </w:p>
        </w:tc>
        <w:tc>
          <w:tcPr>
            <w:tcW w:w="2495" w:type="dxa"/>
          </w:tcPr>
          <w:p w14:paraId="692D3F0A" w14:textId="77777777" w:rsidR="00457F3C" w:rsidRPr="003F41FF" w:rsidRDefault="00457F3C" w:rsidP="00C91285">
            <w:pPr>
              <w:pStyle w:val="Default"/>
              <w:rPr>
                <w:sz w:val="22"/>
                <w:szCs w:val="22"/>
                <w:lang w:val="en-AU"/>
              </w:rPr>
            </w:pPr>
            <w:r w:rsidRPr="003F41FF">
              <w:rPr>
                <w:b/>
                <w:bCs/>
                <w:sz w:val="22"/>
                <w:szCs w:val="22"/>
                <w:lang w:val="en-AU"/>
              </w:rPr>
              <w:t xml:space="preserve">Release date </w:t>
            </w:r>
          </w:p>
        </w:tc>
      </w:tr>
      <w:tr w:rsidR="00457F3C" w:rsidRPr="007F0EB5" w14:paraId="624F6EA8" w14:textId="77777777" w:rsidTr="00C91285">
        <w:trPr>
          <w:trHeight w:val="211"/>
        </w:trPr>
        <w:tc>
          <w:tcPr>
            <w:tcW w:w="2504" w:type="dxa"/>
          </w:tcPr>
          <w:p w14:paraId="13182022" w14:textId="77777777" w:rsidR="00457F3C" w:rsidRPr="007F0EB5" w:rsidRDefault="00457F3C" w:rsidP="00C91285">
            <w:pPr>
              <w:pStyle w:val="Default"/>
              <w:rPr>
                <w:sz w:val="18"/>
                <w:szCs w:val="18"/>
                <w:lang w:val="en-AU"/>
              </w:rPr>
            </w:pPr>
            <w:r w:rsidRPr="007F0EB5">
              <w:rPr>
                <w:bCs/>
                <w:sz w:val="18"/>
                <w:szCs w:val="18"/>
                <w:lang w:val="en-AU"/>
              </w:rPr>
              <w:t xml:space="preserve">V1.1 </w:t>
            </w:r>
          </w:p>
        </w:tc>
        <w:tc>
          <w:tcPr>
            <w:tcW w:w="2552" w:type="dxa"/>
          </w:tcPr>
          <w:p w14:paraId="1F957532" w14:textId="77777777" w:rsidR="00457F3C" w:rsidRPr="007F0EB5" w:rsidRDefault="00457F3C" w:rsidP="00C91285">
            <w:pPr>
              <w:pStyle w:val="Default"/>
              <w:rPr>
                <w:sz w:val="18"/>
                <w:szCs w:val="18"/>
                <w:lang w:val="en-AU"/>
              </w:rPr>
            </w:pPr>
          </w:p>
        </w:tc>
        <w:tc>
          <w:tcPr>
            <w:tcW w:w="2495" w:type="dxa"/>
          </w:tcPr>
          <w:p w14:paraId="43BDC586" w14:textId="77777777" w:rsidR="00457F3C" w:rsidRPr="007F0EB5" w:rsidRDefault="00457F3C" w:rsidP="00C91285">
            <w:pPr>
              <w:pStyle w:val="Default"/>
              <w:rPr>
                <w:sz w:val="18"/>
                <w:szCs w:val="18"/>
                <w:lang w:val="en-AU"/>
              </w:rPr>
            </w:pPr>
          </w:p>
        </w:tc>
      </w:tr>
      <w:tr w:rsidR="00457F3C" w:rsidRPr="003F41FF" w14:paraId="374CA342" w14:textId="77777777" w:rsidTr="00C91285">
        <w:trPr>
          <w:trHeight w:val="211"/>
        </w:trPr>
        <w:tc>
          <w:tcPr>
            <w:tcW w:w="2504" w:type="dxa"/>
          </w:tcPr>
          <w:p w14:paraId="1C552017" w14:textId="20CFC647" w:rsidR="00457F3C" w:rsidRPr="003F41FF" w:rsidRDefault="001D51F9" w:rsidP="00C91285">
            <w:pPr>
              <w:pStyle w:val="Default"/>
              <w:rPr>
                <w:sz w:val="18"/>
                <w:szCs w:val="18"/>
                <w:lang w:val="en-AU"/>
              </w:rPr>
            </w:pPr>
            <w:r>
              <w:rPr>
                <w:sz w:val="18"/>
                <w:szCs w:val="18"/>
                <w:lang w:val="en-AU"/>
              </w:rPr>
              <w:t>V1.2</w:t>
            </w:r>
          </w:p>
        </w:tc>
        <w:tc>
          <w:tcPr>
            <w:tcW w:w="2552" w:type="dxa"/>
          </w:tcPr>
          <w:p w14:paraId="244A5E37" w14:textId="77777777" w:rsidR="00457F3C" w:rsidRDefault="001D51F9" w:rsidP="001D51F9">
            <w:pPr>
              <w:pStyle w:val="Default"/>
              <w:rPr>
                <w:sz w:val="18"/>
                <w:szCs w:val="18"/>
                <w:lang w:val="en-AU"/>
              </w:rPr>
            </w:pPr>
            <w:r>
              <w:rPr>
                <w:sz w:val="18"/>
                <w:szCs w:val="18"/>
                <w:lang w:val="en-AU"/>
              </w:rPr>
              <w:t>Following collation and cleaning of data the analysis plan was updated.</w:t>
            </w:r>
          </w:p>
          <w:p w14:paraId="6001F339" w14:textId="77777777" w:rsidR="001D51F9" w:rsidRDefault="001D51F9" w:rsidP="001D51F9">
            <w:pPr>
              <w:pStyle w:val="Default"/>
              <w:numPr>
                <w:ilvl w:val="0"/>
                <w:numId w:val="17"/>
              </w:numPr>
              <w:rPr>
                <w:sz w:val="18"/>
                <w:szCs w:val="18"/>
                <w:lang w:val="en-AU"/>
              </w:rPr>
            </w:pPr>
            <w:r>
              <w:rPr>
                <w:sz w:val="18"/>
                <w:szCs w:val="18"/>
                <w:lang w:val="en-AU"/>
              </w:rPr>
              <w:t>Recurrence after day 7 was considered to be a better cut-off to identify recrudescence from true treatment failure than day 4</w:t>
            </w:r>
          </w:p>
          <w:p w14:paraId="08BCCBE7" w14:textId="1F825B56" w:rsidR="007F0EB5" w:rsidRPr="003F41FF" w:rsidRDefault="007F0EB5" w:rsidP="001D51F9">
            <w:pPr>
              <w:pStyle w:val="Default"/>
              <w:numPr>
                <w:ilvl w:val="0"/>
                <w:numId w:val="17"/>
              </w:numPr>
              <w:rPr>
                <w:sz w:val="18"/>
                <w:szCs w:val="18"/>
                <w:lang w:val="en-AU"/>
              </w:rPr>
            </w:pPr>
            <w:r>
              <w:rPr>
                <w:sz w:val="18"/>
                <w:szCs w:val="18"/>
                <w:lang w:val="en-AU"/>
              </w:rPr>
              <w:t>Models changed from predictive model to assessment of exposure of interest with inclusion of known confounders</w:t>
            </w:r>
          </w:p>
        </w:tc>
        <w:tc>
          <w:tcPr>
            <w:tcW w:w="2495" w:type="dxa"/>
          </w:tcPr>
          <w:p w14:paraId="4DE72393" w14:textId="69BA07F2" w:rsidR="00457F3C" w:rsidRPr="003F41FF" w:rsidRDefault="001D51F9" w:rsidP="00C91285">
            <w:pPr>
              <w:pStyle w:val="Default"/>
              <w:rPr>
                <w:sz w:val="18"/>
                <w:szCs w:val="18"/>
                <w:lang w:val="en-AU"/>
              </w:rPr>
            </w:pPr>
            <w:r>
              <w:rPr>
                <w:sz w:val="18"/>
                <w:szCs w:val="18"/>
                <w:lang w:val="en-AU"/>
              </w:rPr>
              <w:t>25/05/17</w:t>
            </w:r>
          </w:p>
        </w:tc>
      </w:tr>
    </w:tbl>
    <w:p w14:paraId="121FE130" w14:textId="540D319B" w:rsidR="00457F3C" w:rsidRPr="003F41FF" w:rsidRDefault="00457F3C" w:rsidP="00457F3C">
      <w:pPr>
        <w:pStyle w:val="Default"/>
        <w:rPr>
          <w:color w:val="auto"/>
          <w:sz w:val="23"/>
          <w:szCs w:val="23"/>
          <w:lang w:val="en-AU"/>
        </w:rPr>
      </w:pPr>
    </w:p>
    <w:p w14:paraId="6C0EA97B" w14:textId="77777777" w:rsidR="00457F3C" w:rsidRPr="003F41FF" w:rsidRDefault="00457F3C" w:rsidP="00457F3C">
      <w:pPr>
        <w:pStyle w:val="Default"/>
        <w:rPr>
          <w:color w:val="auto"/>
          <w:sz w:val="23"/>
          <w:szCs w:val="23"/>
          <w:lang w:val="en-AU"/>
        </w:rPr>
      </w:pPr>
    </w:p>
    <w:p w14:paraId="0988B29F" w14:textId="77777777" w:rsidR="00457F3C" w:rsidRPr="003F41FF" w:rsidRDefault="00457F3C" w:rsidP="00457F3C">
      <w:pPr>
        <w:pStyle w:val="Default"/>
        <w:rPr>
          <w:color w:val="auto"/>
          <w:sz w:val="23"/>
          <w:szCs w:val="23"/>
          <w:lang w:val="en-AU"/>
        </w:rPr>
      </w:pPr>
    </w:p>
    <w:p w14:paraId="5C3936A2" w14:textId="77777777" w:rsidR="00457F3C" w:rsidRPr="003F41FF" w:rsidRDefault="00457F3C" w:rsidP="00457F3C">
      <w:pPr>
        <w:pStyle w:val="Default"/>
        <w:rPr>
          <w:sz w:val="22"/>
          <w:szCs w:val="22"/>
          <w:lang w:val="en-AU"/>
        </w:rPr>
      </w:pPr>
      <w:r w:rsidRPr="003F41FF">
        <w:rPr>
          <w:sz w:val="22"/>
          <w:szCs w:val="22"/>
          <w:lang w:val="en-AU"/>
        </w:rPr>
        <w:t xml:space="preserve">WorldWide Antimalarial Resistance Network (WWARN) </w:t>
      </w:r>
    </w:p>
    <w:p w14:paraId="19F1B986" w14:textId="77777777" w:rsidR="00457F3C" w:rsidRPr="003F41FF" w:rsidRDefault="00457F3C" w:rsidP="00457F3C">
      <w:pPr>
        <w:pStyle w:val="Default"/>
        <w:rPr>
          <w:color w:val="auto"/>
          <w:sz w:val="23"/>
          <w:szCs w:val="23"/>
          <w:lang w:val="en-AU"/>
        </w:rPr>
      </w:pPr>
      <w:r w:rsidRPr="003F41FF">
        <w:rPr>
          <w:sz w:val="22"/>
          <w:szCs w:val="22"/>
          <w:lang w:val="en-AU"/>
        </w:rPr>
        <w:t>www.wwarn.org</w:t>
      </w:r>
    </w:p>
    <w:p w14:paraId="696706E5" w14:textId="77777777" w:rsidR="00457F3C" w:rsidRPr="003F41FF" w:rsidRDefault="00457F3C" w:rsidP="00457F3C">
      <w:pPr>
        <w:pStyle w:val="Default"/>
        <w:rPr>
          <w:color w:val="auto"/>
          <w:sz w:val="23"/>
          <w:szCs w:val="23"/>
          <w:lang w:val="en-AU"/>
        </w:rPr>
      </w:pPr>
    </w:p>
    <w:p w14:paraId="30806864" w14:textId="77777777" w:rsidR="00457F3C" w:rsidRPr="003F41FF" w:rsidRDefault="00457F3C" w:rsidP="00457F3C">
      <w:pPr>
        <w:pStyle w:val="Default"/>
        <w:rPr>
          <w:color w:val="auto"/>
          <w:sz w:val="23"/>
          <w:szCs w:val="23"/>
          <w:lang w:val="en-AU"/>
        </w:rPr>
      </w:pPr>
    </w:p>
    <w:p w14:paraId="49319F11" w14:textId="77777777" w:rsidR="00457F3C" w:rsidRPr="003F41FF" w:rsidRDefault="00457F3C" w:rsidP="00457F3C">
      <w:pPr>
        <w:pStyle w:val="Default"/>
        <w:rPr>
          <w:color w:val="auto"/>
          <w:sz w:val="23"/>
          <w:szCs w:val="23"/>
          <w:lang w:val="en-AU"/>
        </w:rPr>
      </w:pPr>
    </w:p>
    <w:p w14:paraId="0FB027BF" w14:textId="77777777" w:rsidR="00457F3C" w:rsidRPr="003F41FF" w:rsidRDefault="00457F3C" w:rsidP="00457F3C">
      <w:pPr>
        <w:pStyle w:val="Default"/>
        <w:rPr>
          <w:color w:val="auto"/>
          <w:sz w:val="23"/>
          <w:szCs w:val="23"/>
          <w:lang w:val="en-AU"/>
        </w:rPr>
      </w:pPr>
    </w:p>
    <w:p w14:paraId="73F17252" w14:textId="77777777" w:rsidR="00457F3C" w:rsidRPr="003F41FF" w:rsidRDefault="00457F3C" w:rsidP="00457F3C">
      <w:pPr>
        <w:pStyle w:val="Default"/>
        <w:rPr>
          <w:color w:val="auto"/>
          <w:sz w:val="23"/>
          <w:szCs w:val="23"/>
          <w:lang w:val="en-AU"/>
        </w:rPr>
        <w:sectPr w:rsidR="00457F3C" w:rsidRPr="003F41FF">
          <w:pgSz w:w="11899" w:h="17340"/>
          <w:pgMar w:top="1880" w:right="804" w:bottom="658" w:left="1580" w:header="720" w:footer="720" w:gutter="0"/>
          <w:cols w:space="720"/>
          <w:noEndnote/>
        </w:sectPr>
      </w:pPr>
    </w:p>
    <w:p w14:paraId="10BBACE0" w14:textId="77777777" w:rsidR="00457F3C" w:rsidRPr="003F41FF" w:rsidRDefault="00457F3C" w:rsidP="00457F3C">
      <w:pPr>
        <w:pStyle w:val="Heading1"/>
      </w:pPr>
      <w:bookmarkStart w:id="1" w:name="_Toc457401123"/>
      <w:bookmarkStart w:id="2" w:name="_Toc457660137"/>
      <w:bookmarkStart w:id="3" w:name="_Toc461542549"/>
      <w:r w:rsidRPr="003F41FF">
        <w:lastRenderedPageBreak/>
        <w:t>Contents</w:t>
      </w:r>
      <w:bookmarkEnd w:id="1"/>
      <w:bookmarkEnd w:id="2"/>
      <w:bookmarkEnd w:id="3"/>
    </w:p>
    <w:p w14:paraId="0AE3D53C" w14:textId="77777777" w:rsidR="00457F3C" w:rsidRDefault="00457F3C">
      <w:pPr>
        <w:pStyle w:val="TOC1"/>
        <w:tabs>
          <w:tab w:val="right" w:leader="dot" w:pos="9010"/>
        </w:tabs>
        <w:rPr>
          <w:rFonts w:eastAsiaTheme="minorEastAsia" w:cstheme="minorBidi"/>
          <w:b w:val="0"/>
          <w:bCs w:val="0"/>
          <w:noProof/>
        </w:rPr>
      </w:pPr>
      <w:r w:rsidRPr="003F41FF">
        <w:rPr>
          <w:b w:val="0"/>
          <w:bCs w:val="0"/>
          <w:sz w:val="28"/>
          <w:szCs w:val="28"/>
          <w:lang w:val="en-AU"/>
        </w:rPr>
        <w:fldChar w:fldCharType="begin"/>
      </w:r>
      <w:r w:rsidRPr="003F41FF">
        <w:rPr>
          <w:b w:val="0"/>
          <w:bCs w:val="0"/>
          <w:sz w:val="28"/>
          <w:szCs w:val="28"/>
          <w:lang w:val="en-AU"/>
        </w:rPr>
        <w:instrText xml:space="preserve"> TOC \o "1-3" </w:instrText>
      </w:r>
      <w:r w:rsidRPr="003F41FF">
        <w:rPr>
          <w:b w:val="0"/>
          <w:bCs w:val="0"/>
          <w:sz w:val="28"/>
          <w:szCs w:val="28"/>
          <w:lang w:val="en-AU"/>
        </w:rPr>
        <w:fldChar w:fldCharType="separate"/>
      </w:r>
      <w:r>
        <w:rPr>
          <w:noProof/>
        </w:rPr>
        <w:t>Contents</w:t>
      </w:r>
      <w:r>
        <w:rPr>
          <w:noProof/>
        </w:rPr>
        <w:tab/>
      </w:r>
      <w:r>
        <w:rPr>
          <w:noProof/>
        </w:rPr>
        <w:fldChar w:fldCharType="begin"/>
      </w:r>
      <w:r>
        <w:rPr>
          <w:noProof/>
        </w:rPr>
        <w:instrText xml:space="preserve"> PAGEREF _Toc461542549 \h </w:instrText>
      </w:r>
      <w:r>
        <w:rPr>
          <w:noProof/>
        </w:rPr>
      </w:r>
      <w:r>
        <w:rPr>
          <w:noProof/>
        </w:rPr>
        <w:fldChar w:fldCharType="separate"/>
      </w:r>
      <w:r>
        <w:rPr>
          <w:noProof/>
        </w:rPr>
        <w:t>3</w:t>
      </w:r>
      <w:r>
        <w:rPr>
          <w:noProof/>
        </w:rPr>
        <w:fldChar w:fldCharType="end"/>
      </w:r>
    </w:p>
    <w:p w14:paraId="617819B0" w14:textId="77777777" w:rsidR="00457F3C" w:rsidRDefault="00457F3C">
      <w:pPr>
        <w:pStyle w:val="TOC1"/>
        <w:tabs>
          <w:tab w:val="right" w:leader="dot" w:pos="9010"/>
        </w:tabs>
        <w:rPr>
          <w:rFonts w:eastAsiaTheme="minorEastAsia" w:cstheme="minorBidi"/>
          <w:b w:val="0"/>
          <w:bCs w:val="0"/>
          <w:noProof/>
        </w:rPr>
      </w:pPr>
      <w:r>
        <w:rPr>
          <w:noProof/>
        </w:rPr>
        <w:t>1. Introduction and Rationale</w:t>
      </w:r>
      <w:r>
        <w:rPr>
          <w:noProof/>
        </w:rPr>
        <w:tab/>
      </w:r>
      <w:r>
        <w:rPr>
          <w:noProof/>
        </w:rPr>
        <w:fldChar w:fldCharType="begin"/>
      </w:r>
      <w:r>
        <w:rPr>
          <w:noProof/>
        </w:rPr>
        <w:instrText xml:space="preserve"> PAGEREF _Toc461542550 \h </w:instrText>
      </w:r>
      <w:r>
        <w:rPr>
          <w:noProof/>
        </w:rPr>
      </w:r>
      <w:r>
        <w:rPr>
          <w:noProof/>
        </w:rPr>
        <w:fldChar w:fldCharType="separate"/>
      </w:r>
      <w:r>
        <w:rPr>
          <w:noProof/>
        </w:rPr>
        <w:t>4</w:t>
      </w:r>
      <w:r>
        <w:rPr>
          <w:noProof/>
        </w:rPr>
        <w:fldChar w:fldCharType="end"/>
      </w:r>
    </w:p>
    <w:p w14:paraId="577E6C4C" w14:textId="77777777" w:rsidR="00457F3C" w:rsidRDefault="00457F3C">
      <w:pPr>
        <w:pStyle w:val="TOC2"/>
        <w:tabs>
          <w:tab w:val="right" w:leader="dot" w:pos="9010"/>
        </w:tabs>
        <w:rPr>
          <w:rFonts w:eastAsiaTheme="minorEastAsia" w:cstheme="minorBidi"/>
          <w:b w:val="0"/>
          <w:bCs w:val="0"/>
          <w:noProof/>
          <w:sz w:val="24"/>
          <w:szCs w:val="24"/>
        </w:rPr>
      </w:pPr>
      <w:r w:rsidRPr="00B50471">
        <w:rPr>
          <w:rFonts w:asciiTheme="majorHAnsi" w:hAnsiTheme="majorHAnsi"/>
          <w:noProof/>
          <w:color w:val="0070C0"/>
        </w:rPr>
        <w:t>1.2. Aim of the study</w:t>
      </w:r>
      <w:r>
        <w:rPr>
          <w:noProof/>
        </w:rPr>
        <w:tab/>
      </w:r>
      <w:r>
        <w:rPr>
          <w:noProof/>
        </w:rPr>
        <w:fldChar w:fldCharType="begin"/>
      </w:r>
      <w:r>
        <w:rPr>
          <w:noProof/>
        </w:rPr>
        <w:instrText xml:space="preserve"> PAGEREF _Toc461542551 \h </w:instrText>
      </w:r>
      <w:r>
        <w:rPr>
          <w:noProof/>
        </w:rPr>
      </w:r>
      <w:r>
        <w:rPr>
          <w:noProof/>
        </w:rPr>
        <w:fldChar w:fldCharType="separate"/>
      </w:r>
      <w:r>
        <w:rPr>
          <w:noProof/>
        </w:rPr>
        <w:t>4</w:t>
      </w:r>
      <w:r>
        <w:rPr>
          <w:noProof/>
        </w:rPr>
        <w:fldChar w:fldCharType="end"/>
      </w:r>
    </w:p>
    <w:p w14:paraId="280D8703" w14:textId="77777777" w:rsidR="00457F3C" w:rsidRDefault="00457F3C">
      <w:pPr>
        <w:pStyle w:val="TOC2"/>
        <w:tabs>
          <w:tab w:val="right" w:leader="dot" w:pos="9010"/>
        </w:tabs>
        <w:rPr>
          <w:rFonts w:eastAsiaTheme="minorEastAsia" w:cstheme="minorBidi"/>
          <w:b w:val="0"/>
          <w:bCs w:val="0"/>
          <w:noProof/>
          <w:sz w:val="24"/>
          <w:szCs w:val="24"/>
        </w:rPr>
      </w:pPr>
      <w:r w:rsidRPr="00B50471">
        <w:rPr>
          <w:rFonts w:asciiTheme="majorHAnsi" w:hAnsiTheme="majorHAnsi"/>
          <w:noProof/>
          <w:color w:val="0070C0"/>
        </w:rPr>
        <w:t>1.3. Eligibility criteria for inclusion in pooled analysis</w:t>
      </w:r>
      <w:r>
        <w:rPr>
          <w:noProof/>
        </w:rPr>
        <w:tab/>
      </w:r>
      <w:r>
        <w:rPr>
          <w:noProof/>
        </w:rPr>
        <w:fldChar w:fldCharType="begin"/>
      </w:r>
      <w:r>
        <w:rPr>
          <w:noProof/>
        </w:rPr>
        <w:instrText xml:space="preserve"> PAGEREF _Toc461542552 \h </w:instrText>
      </w:r>
      <w:r>
        <w:rPr>
          <w:noProof/>
        </w:rPr>
      </w:r>
      <w:r>
        <w:rPr>
          <w:noProof/>
        </w:rPr>
        <w:fldChar w:fldCharType="separate"/>
      </w:r>
      <w:r>
        <w:rPr>
          <w:noProof/>
        </w:rPr>
        <w:t>4</w:t>
      </w:r>
      <w:r>
        <w:rPr>
          <w:noProof/>
        </w:rPr>
        <w:fldChar w:fldCharType="end"/>
      </w:r>
    </w:p>
    <w:p w14:paraId="2A014B0B" w14:textId="77777777" w:rsidR="00457F3C" w:rsidRDefault="00457F3C">
      <w:pPr>
        <w:pStyle w:val="TOC2"/>
        <w:tabs>
          <w:tab w:val="left" w:pos="960"/>
          <w:tab w:val="right" w:leader="dot" w:pos="9010"/>
        </w:tabs>
        <w:rPr>
          <w:rFonts w:eastAsiaTheme="minorEastAsia" w:cstheme="minorBidi"/>
          <w:b w:val="0"/>
          <w:bCs w:val="0"/>
          <w:noProof/>
          <w:sz w:val="24"/>
          <w:szCs w:val="24"/>
        </w:rPr>
      </w:pPr>
      <w:r w:rsidRPr="00B50471">
        <w:rPr>
          <w:noProof/>
          <w:color w:val="000000" w:themeColor="text1"/>
        </w:rPr>
        <w:t>1.3.1</w:t>
      </w:r>
      <w:r>
        <w:rPr>
          <w:rFonts w:eastAsiaTheme="minorEastAsia" w:cstheme="minorBidi"/>
          <w:b w:val="0"/>
          <w:bCs w:val="0"/>
          <w:noProof/>
          <w:sz w:val="24"/>
          <w:szCs w:val="24"/>
        </w:rPr>
        <w:tab/>
      </w:r>
      <w:r w:rsidRPr="00B50471">
        <w:rPr>
          <w:noProof/>
          <w:color w:val="000000" w:themeColor="text1"/>
        </w:rPr>
        <w:t>Essential inclusion criteria</w:t>
      </w:r>
      <w:r>
        <w:rPr>
          <w:noProof/>
        </w:rPr>
        <w:tab/>
      </w:r>
      <w:r>
        <w:rPr>
          <w:noProof/>
        </w:rPr>
        <w:fldChar w:fldCharType="begin"/>
      </w:r>
      <w:r>
        <w:rPr>
          <w:noProof/>
        </w:rPr>
        <w:instrText xml:space="preserve"> PAGEREF _Toc461542553 \h </w:instrText>
      </w:r>
      <w:r>
        <w:rPr>
          <w:noProof/>
        </w:rPr>
      </w:r>
      <w:r>
        <w:rPr>
          <w:noProof/>
        </w:rPr>
        <w:fldChar w:fldCharType="separate"/>
      </w:r>
      <w:r>
        <w:rPr>
          <w:noProof/>
        </w:rPr>
        <w:t>4</w:t>
      </w:r>
      <w:r>
        <w:rPr>
          <w:noProof/>
        </w:rPr>
        <w:fldChar w:fldCharType="end"/>
      </w:r>
    </w:p>
    <w:p w14:paraId="0EA8AD61" w14:textId="77777777" w:rsidR="00457F3C" w:rsidRDefault="00457F3C">
      <w:pPr>
        <w:pStyle w:val="TOC2"/>
        <w:tabs>
          <w:tab w:val="left" w:pos="960"/>
          <w:tab w:val="right" w:leader="dot" w:pos="9010"/>
        </w:tabs>
        <w:rPr>
          <w:rFonts w:eastAsiaTheme="minorEastAsia" w:cstheme="minorBidi"/>
          <w:b w:val="0"/>
          <w:bCs w:val="0"/>
          <w:noProof/>
          <w:sz w:val="24"/>
          <w:szCs w:val="24"/>
        </w:rPr>
      </w:pPr>
      <w:r w:rsidRPr="00B50471">
        <w:rPr>
          <w:noProof/>
          <w:color w:val="000000" w:themeColor="text1"/>
        </w:rPr>
        <w:t>1.3.2</w:t>
      </w:r>
      <w:r>
        <w:rPr>
          <w:rFonts w:eastAsiaTheme="minorEastAsia" w:cstheme="minorBidi"/>
          <w:b w:val="0"/>
          <w:bCs w:val="0"/>
          <w:noProof/>
          <w:sz w:val="24"/>
          <w:szCs w:val="24"/>
        </w:rPr>
        <w:tab/>
      </w:r>
      <w:r w:rsidRPr="00B50471">
        <w:rPr>
          <w:noProof/>
          <w:color w:val="000000" w:themeColor="text1"/>
        </w:rPr>
        <w:t>Desirable criteria</w:t>
      </w:r>
      <w:r>
        <w:rPr>
          <w:noProof/>
        </w:rPr>
        <w:tab/>
      </w:r>
      <w:r>
        <w:rPr>
          <w:noProof/>
        </w:rPr>
        <w:fldChar w:fldCharType="begin"/>
      </w:r>
      <w:r>
        <w:rPr>
          <w:noProof/>
        </w:rPr>
        <w:instrText xml:space="preserve"> PAGEREF _Toc461542554 \h </w:instrText>
      </w:r>
      <w:r>
        <w:rPr>
          <w:noProof/>
        </w:rPr>
      </w:r>
      <w:r>
        <w:rPr>
          <w:noProof/>
        </w:rPr>
        <w:fldChar w:fldCharType="separate"/>
      </w:r>
      <w:r>
        <w:rPr>
          <w:noProof/>
        </w:rPr>
        <w:t>4</w:t>
      </w:r>
      <w:r>
        <w:rPr>
          <w:noProof/>
        </w:rPr>
        <w:fldChar w:fldCharType="end"/>
      </w:r>
    </w:p>
    <w:p w14:paraId="7810278B" w14:textId="77777777" w:rsidR="00457F3C" w:rsidRDefault="00457F3C">
      <w:pPr>
        <w:pStyle w:val="TOC2"/>
        <w:tabs>
          <w:tab w:val="right" w:leader="dot" w:pos="9010"/>
        </w:tabs>
        <w:rPr>
          <w:rFonts w:eastAsiaTheme="minorEastAsia" w:cstheme="minorBidi"/>
          <w:b w:val="0"/>
          <w:bCs w:val="0"/>
          <w:noProof/>
          <w:sz w:val="24"/>
          <w:szCs w:val="24"/>
        </w:rPr>
      </w:pPr>
      <w:r w:rsidRPr="00B50471">
        <w:rPr>
          <w:rFonts w:asciiTheme="majorHAnsi" w:hAnsiTheme="majorHAnsi"/>
          <w:noProof/>
          <w:color w:val="0070C0"/>
        </w:rPr>
        <w:t>1.4. Data Pooling</w:t>
      </w:r>
      <w:r>
        <w:rPr>
          <w:noProof/>
        </w:rPr>
        <w:tab/>
      </w:r>
      <w:r>
        <w:rPr>
          <w:noProof/>
        </w:rPr>
        <w:fldChar w:fldCharType="begin"/>
      </w:r>
      <w:r>
        <w:rPr>
          <w:noProof/>
        </w:rPr>
        <w:instrText xml:space="preserve"> PAGEREF _Toc461542555 \h </w:instrText>
      </w:r>
      <w:r>
        <w:rPr>
          <w:noProof/>
        </w:rPr>
      </w:r>
      <w:r>
        <w:rPr>
          <w:noProof/>
        </w:rPr>
        <w:fldChar w:fldCharType="separate"/>
      </w:r>
      <w:r>
        <w:rPr>
          <w:noProof/>
        </w:rPr>
        <w:t>5</w:t>
      </w:r>
      <w:r>
        <w:rPr>
          <w:noProof/>
        </w:rPr>
        <w:fldChar w:fldCharType="end"/>
      </w:r>
    </w:p>
    <w:p w14:paraId="1ECA0060" w14:textId="77777777" w:rsidR="00457F3C" w:rsidRDefault="00457F3C">
      <w:pPr>
        <w:pStyle w:val="TOC1"/>
        <w:tabs>
          <w:tab w:val="right" w:leader="dot" w:pos="9010"/>
        </w:tabs>
        <w:rPr>
          <w:rFonts w:eastAsiaTheme="minorEastAsia" w:cstheme="minorBidi"/>
          <w:b w:val="0"/>
          <w:bCs w:val="0"/>
          <w:noProof/>
        </w:rPr>
      </w:pPr>
      <w:r>
        <w:rPr>
          <w:noProof/>
        </w:rPr>
        <w:t>2. Outline of Statistical Analysis</w:t>
      </w:r>
      <w:r>
        <w:rPr>
          <w:noProof/>
        </w:rPr>
        <w:tab/>
      </w:r>
      <w:r>
        <w:rPr>
          <w:noProof/>
        </w:rPr>
        <w:fldChar w:fldCharType="begin"/>
      </w:r>
      <w:r>
        <w:rPr>
          <w:noProof/>
        </w:rPr>
        <w:instrText xml:space="preserve"> PAGEREF _Toc461542556 \h </w:instrText>
      </w:r>
      <w:r>
        <w:rPr>
          <w:noProof/>
        </w:rPr>
      </w:r>
      <w:r>
        <w:rPr>
          <w:noProof/>
        </w:rPr>
        <w:fldChar w:fldCharType="separate"/>
      </w:r>
      <w:r>
        <w:rPr>
          <w:noProof/>
        </w:rPr>
        <w:t>5</w:t>
      </w:r>
      <w:r>
        <w:rPr>
          <w:noProof/>
        </w:rPr>
        <w:fldChar w:fldCharType="end"/>
      </w:r>
    </w:p>
    <w:p w14:paraId="467D2689" w14:textId="77777777" w:rsidR="00457F3C" w:rsidRDefault="00457F3C">
      <w:pPr>
        <w:pStyle w:val="TOC2"/>
        <w:tabs>
          <w:tab w:val="right" w:leader="dot" w:pos="9010"/>
        </w:tabs>
        <w:rPr>
          <w:rFonts w:eastAsiaTheme="minorEastAsia" w:cstheme="minorBidi"/>
          <w:b w:val="0"/>
          <w:bCs w:val="0"/>
          <w:noProof/>
          <w:sz w:val="24"/>
          <w:szCs w:val="24"/>
        </w:rPr>
      </w:pPr>
      <w:r w:rsidRPr="00B50471">
        <w:rPr>
          <w:rFonts w:asciiTheme="majorHAnsi" w:hAnsiTheme="majorHAnsi"/>
          <w:noProof/>
          <w:color w:val="2E74B5" w:themeColor="accent1" w:themeShade="BF"/>
        </w:rPr>
        <w:t>2.1 Specific objectives of the study</w:t>
      </w:r>
      <w:r>
        <w:rPr>
          <w:noProof/>
        </w:rPr>
        <w:tab/>
      </w:r>
      <w:r>
        <w:rPr>
          <w:noProof/>
        </w:rPr>
        <w:fldChar w:fldCharType="begin"/>
      </w:r>
      <w:r>
        <w:rPr>
          <w:noProof/>
        </w:rPr>
        <w:instrText xml:space="preserve"> PAGEREF _Toc461542557 \h </w:instrText>
      </w:r>
      <w:r>
        <w:rPr>
          <w:noProof/>
        </w:rPr>
      </w:r>
      <w:r>
        <w:rPr>
          <w:noProof/>
        </w:rPr>
        <w:fldChar w:fldCharType="separate"/>
      </w:r>
      <w:r>
        <w:rPr>
          <w:noProof/>
        </w:rPr>
        <w:t>5</w:t>
      </w:r>
      <w:r>
        <w:rPr>
          <w:noProof/>
        </w:rPr>
        <w:fldChar w:fldCharType="end"/>
      </w:r>
    </w:p>
    <w:p w14:paraId="4A3C306F" w14:textId="77777777" w:rsidR="00457F3C" w:rsidRDefault="00457F3C">
      <w:pPr>
        <w:pStyle w:val="TOC2"/>
        <w:tabs>
          <w:tab w:val="right" w:leader="dot" w:pos="9010"/>
        </w:tabs>
        <w:rPr>
          <w:rFonts w:eastAsiaTheme="minorEastAsia" w:cstheme="minorBidi"/>
          <w:b w:val="0"/>
          <w:bCs w:val="0"/>
          <w:noProof/>
          <w:sz w:val="24"/>
          <w:szCs w:val="24"/>
        </w:rPr>
      </w:pPr>
      <w:r w:rsidRPr="00B50471">
        <w:rPr>
          <w:rFonts w:asciiTheme="majorHAnsi" w:hAnsiTheme="majorHAnsi"/>
          <w:noProof/>
          <w:color w:val="2E74B5" w:themeColor="accent1" w:themeShade="BF"/>
        </w:rPr>
        <w:t>2.2 Study endpoints</w:t>
      </w:r>
      <w:r>
        <w:rPr>
          <w:noProof/>
        </w:rPr>
        <w:tab/>
      </w:r>
      <w:r>
        <w:rPr>
          <w:noProof/>
        </w:rPr>
        <w:fldChar w:fldCharType="begin"/>
      </w:r>
      <w:r>
        <w:rPr>
          <w:noProof/>
        </w:rPr>
        <w:instrText xml:space="preserve"> PAGEREF _Toc461542558 \h </w:instrText>
      </w:r>
      <w:r>
        <w:rPr>
          <w:noProof/>
        </w:rPr>
      </w:r>
      <w:r>
        <w:rPr>
          <w:noProof/>
        </w:rPr>
        <w:fldChar w:fldCharType="separate"/>
      </w:r>
      <w:r>
        <w:rPr>
          <w:noProof/>
        </w:rPr>
        <w:t>5</w:t>
      </w:r>
      <w:r>
        <w:rPr>
          <w:noProof/>
        </w:rPr>
        <w:fldChar w:fldCharType="end"/>
      </w:r>
    </w:p>
    <w:p w14:paraId="021AE3ED" w14:textId="77777777" w:rsidR="00457F3C" w:rsidRDefault="00457F3C">
      <w:pPr>
        <w:pStyle w:val="TOC2"/>
        <w:tabs>
          <w:tab w:val="right" w:leader="dot" w:pos="9010"/>
        </w:tabs>
        <w:rPr>
          <w:rFonts w:eastAsiaTheme="minorEastAsia" w:cstheme="minorBidi"/>
          <w:b w:val="0"/>
          <w:bCs w:val="0"/>
          <w:noProof/>
          <w:sz w:val="24"/>
          <w:szCs w:val="24"/>
        </w:rPr>
      </w:pPr>
      <w:r w:rsidRPr="00B50471">
        <w:rPr>
          <w:rFonts w:asciiTheme="majorHAnsi" w:hAnsiTheme="majorHAnsi"/>
          <w:noProof/>
          <w:color w:val="0070C0"/>
        </w:rPr>
        <w:t>2.3 Definitions of Endpoints</w:t>
      </w:r>
      <w:r>
        <w:rPr>
          <w:noProof/>
        </w:rPr>
        <w:tab/>
      </w:r>
      <w:r>
        <w:rPr>
          <w:noProof/>
        </w:rPr>
        <w:fldChar w:fldCharType="begin"/>
      </w:r>
      <w:r>
        <w:rPr>
          <w:noProof/>
        </w:rPr>
        <w:instrText xml:space="preserve"> PAGEREF _Toc461542559 \h </w:instrText>
      </w:r>
      <w:r>
        <w:rPr>
          <w:noProof/>
        </w:rPr>
      </w:r>
      <w:r>
        <w:rPr>
          <w:noProof/>
        </w:rPr>
        <w:fldChar w:fldCharType="separate"/>
      </w:r>
      <w:r>
        <w:rPr>
          <w:noProof/>
        </w:rPr>
        <w:t>6</w:t>
      </w:r>
      <w:r>
        <w:rPr>
          <w:noProof/>
        </w:rPr>
        <w:fldChar w:fldCharType="end"/>
      </w:r>
    </w:p>
    <w:p w14:paraId="5CA6A727" w14:textId="77777777" w:rsidR="00457F3C" w:rsidRDefault="00457F3C">
      <w:pPr>
        <w:pStyle w:val="TOC2"/>
        <w:tabs>
          <w:tab w:val="right" w:leader="dot" w:pos="9010"/>
        </w:tabs>
        <w:rPr>
          <w:rFonts w:eastAsiaTheme="minorEastAsia" w:cstheme="minorBidi"/>
          <w:b w:val="0"/>
          <w:bCs w:val="0"/>
          <w:noProof/>
          <w:sz w:val="24"/>
          <w:szCs w:val="24"/>
        </w:rPr>
      </w:pPr>
      <w:r w:rsidRPr="00B50471">
        <w:rPr>
          <w:rFonts w:asciiTheme="majorHAnsi" w:hAnsiTheme="majorHAnsi"/>
          <w:noProof/>
          <w:color w:val="2E74B5" w:themeColor="accent1" w:themeShade="BF"/>
        </w:rPr>
        <w:t>2.4 Study and patient characteristics</w:t>
      </w:r>
      <w:r>
        <w:rPr>
          <w:noProof/>
        </w:rPr>
        <w:tab/>
      </w:r>
      <w:r>
        <w:rPr>
          <w:noProof/>
        </w:rPr>
        <w:fldChar w:fldCharType="begin"/>
      </w:r>
      <w:r>
        <w:rPr>
          <w:noProof/>
        </w:rPr>
        <w:instrText xml:space="preserve"> PAGEREF _Toc461542560 \h </w:instrText>
      </w:r>
      <w:r>
        <w:rPr>
          <w:noProof/>
        </w:rPr>
      </w:r>
      <w:r>
        <w:rPr>
          <w:noProof/>
        </w:rPr>
        <w:fldChar w:fldCharType="separate"/>
      </w:r>
      <w:r>
        <w:rPr>
          <w:noProof/>
        </w:rPr>
        <w:t>6</w:t>
      </w:r>
      <w:r>
        <w:rPr>
          <w:noProof/>
        </w:rPr>
        <w:fldChar w:fldCharType="end"/>
      </w:r>
    </w:p>
    <w:p w14:paraId="00677BE2" w14:textId="77777777" w:rsidR="00457F3C" w:rsidRDefault="00457F3C">
      <w:pPr>
        <w:pStyle w:val="TOC2"/>
        <w:tabs>
          <w:tab w:val="right" w:leader="dot" w:pos="9010"/>
        </w:tabs>
        <w:rPr>
          <w:rFonts w:eastAsiaTheme="minorEastAsia" w:cstheme="minorBidi"/>
          <w:b w:val="0"/>
          <w:bCs w:val="0"/>
          <w:noProof/>
          <w:sz w:val="24"/>
          <w:szCs w:val="24"/>
        </w:rPr>
      </w:pPr>
      <w:r w:rsidRPr="00B50471">
        <w:rPr>
          <w:rFonts w:asciiTheme="majorHAnsi" w:hAnsiTheme="majorHAnsi"/>
          <w:noProof/>
          <w:color w:val="2E74B5" w:themeColor="accent1" w:themeShade="BF"/>
        </w:rPr>
        <w:t>2.5 Summary of statistical analyses</w:t>
      </w:r>
      <w:r>
        <w:rPr>
          <w:noProof/>
        </w:rPr>
        <w:tab/>
      </w:r>
      <w:r>
        <w:rPr>
          <w:noProof/>
        </w:rPr>
        <w:fldChar w:fldCharType="begin"/>
      </w:r>
      <w:r>
        <w:rPr>
          <w:noProof/>
        </w:rPr>
        <w:instrText xml:space="preserve"> PAGEREF _Toc461542561 \h </w:instrText>
      </w:r>
      <w:r>
        <w:rPr>
          <w:noProof/>
        </w:rPr>
      </w:r>
      <w:r>
        <w:rPr>
          <w:noProof/>
        </w:rPr>
        <w:fldChar w:fldCharType="separate"/>
      </w:r>
      <w:r>
        <w:rPr>
          <w:noProof/>
        </w:rPr>
        <w:t>7</w:t>
      </w:r>
      <w:r>
        <w:rPr>
          <w:noProof/>
        </w:rPr>
        <w:fldChar w:fldCharType="end"/>
      </w:r>
    </w:p>
    <w:p w14:paraId="1D08491F" w14:textId="77777777" w:rsidR="00457F3C" w:rsidRDefault="00457F3C">
      <w:pPr>
        <w:pStyle w:val="TOC1"/>
        <w:tabs>
          <w:tab w:val="right" w:leader="dot" w:pos="9010"/>
        </w:tabs>
        <w:rPr>
          <w:rFonts w:eastAsiaTheme="minorEastAsia" w:cstheme="minorBidi"/>
          <w:b w:val="0"/>
          <w:bCs w:val="0"/>
          <w:noProof/>
        </w:rPr>
      </w:pPr>
      <w:r>
        <w:rPr>
          <w:noProof/>
        </w:rPr>
        <w:t>3. Statistical Methodology</w:t>
      </w:r>
      <w:r>
        <w:rPr>
          <w:noProof/>
        </w:rPr>
        <w:tab/>
      </w:r>
      <w:r>
        <w:rPr>
          <w:noProof/>
        </w:rPr>
        <w:fldChar w:fldCharType="begin"/>
      </w:r>
      <w:r>
        <w:rPr>
          <w:noProof/>
        </w:rPr>
        <w:instrText xml:space="preserve"> PAGEREF _Toc461542562 \h </w:instrText>
      </w:r>
      <w:r>
        <w:rPr>
          <w:noProof/>
        </w:rPr>
      </w:r>
      <w:r>
        <w:rPr>
          <w:noProof/>
        </w:rPr>
        <w:fldChar w:fldCharType="separate"/>
      </w:r>
      <w:r>
        <w:rPr>
          <w:noProof/>
        </w:rPr>
        <w:t>9</w:t>
      </w:r>
      <w:r>
        <w:rPr>
          <w:noProof/>
        </w:rPr>
        <w:fldChar w:fldCharType="end"/>
      </w:r>
    </w:p>
    <w:p w14:paraId="61E9F0B2" w14:textId="77777777" w:rsidR="00457F3C" w:rsidRDefault="00457F3C">
      <w:pPr>
        <w:pStyle w:val="TOC2"/>
        <w:tabs>
          <w:tab w:val="right" w:leader="dot" w:pos="9010"/>
        </w:tabs>
        <w:rPr>
          <w:rFonts w:eastAsiaTheme="minorEastAsia" w:cstheme="minorBidi"/>
          <w:b w:val="0"/>
          <w:bCs w:val="0"/>
          <w:noProof/>
          <w:sz w:val="24"/>
          <w:szCs w:val="24"/>
        </w:rPr>
      </w:pPr>
      <w:r w:rsidRPr="00B50471">
        <w:rPr>
          <w:rFonts w:asciiTheme="majorHAnsi" w:hAnsiTheme="majorHAnsi"/>
          <w:noProof/>
          <w:color w:val="0070C0"/>
        </w:rPr>
        <w:t>3.1 Descriptive statistics</w:t>
      </w:r>
      <w:r>
        <w:rPr>
          <w:noProof/>
        </w:rPr>
        <w:tab/>
      </w:r>
      <w:r>
        <w:rPr>
          <w:noProof/>
        </w:rPr>
        <w:fldChar w:fldCharType="begin"/>
      </w:r>
      <w:r>
        <w:rPr>
          <w:noProof/>
        </w:rPr>
        <w:instrText xml:space="preserve"> PAGEREF _Toc461542563 \h </w:instrText>
      </w:r>
      <w:r>
        <w:rPr>
          <w:noProof/>
        </w:rPr>
      </w:r>
      <w:r>
        <w:rPr>
          <w:noProof/>
        </w:rPr>
        <w:fldChar w:fldCharType="separate"/>
      </w:r>
      <w:r>
        <w:rPr>
          <w:noProof/>
        </w:rPr>
        <w:t>9</w:t>
      </w:r>
      <w:r>
        <w:rPr>
          <w:noProof/>
        </w:rPr>
        <w:fldChar w:fldCharType="end"/>
      </w:r>
    </w:p>
    <w:p w14:paraId="66C3BAFF" w14:textId="77777777" w:rsidR="00457F3C" w:rsidRDefault="00457F3C">
      <w:pPr>
        <w:pStyle w:val="TOC2"/>
        <w:tabs>
          <w:tab w:val="right" w:leader="dot" w:pos="9010"/>
        </w:tabs>
        <w:rPr>
          <w:rFonts w:eastAsiaTheme="minorEastAsia" w:cstheme="minorBidi"/>
          <w:b w:val="0"/>
          <w:bCs w:val="0"/>
          <w:noProof/>
          <w:sz w:val="24"/>
          <w:szCs w:val="24"/>
        </w:rPr>
      </w:pPr>
      <w:r w:rsidRPr="00B50471">
        <w:rPr>
          <w:rFonts w:asciiTheme="majorHAnsi" w:hAnsiTheme="majorHAnsi"/>
          <w:noProof/>
          <w:color w:val="0070C0"/>
        </w:rPr>
        <w:t>3.2 Survival analysis</w:t>
      </w:r>
      <w:r>
        <w:rPr>
          <w:noProof/>
        </w:rPr>
        <w:tab/>
      </w:r>
      <w:r>
        <w:rPr>
          <w:noProof/>
        </w:rPr>
        <w:fldChar w:fldCharType="begin"/>
      </w:r>
      <w:r>
        <w:rPr>
          <w:noProof/>
        </w:rPr>
        <w:instrText xml:space="preserve"> PAGEREF _Toc461542564 \h </w:instrText>
      </w:r>
      <w:r>
        <w:rPr>
          <w:noProof/>
        </w:rPr>
      </w:r>
      <w:r>
        <w:rPr>
          <w:noProof/>
        </w:rPr>
        <w:fldChar w:fldCharType="separate"/>
      </w:r>
      <w:r>
        <w:rPr>
          <w:noProof/>
        </w:rPr>
        <w:t>9</w:t>
      </w:r>
      <w:r>
        <w:rPr>
          <w:noProof/>
        </w:rPr>
        <w:fldChar w:fldCharType="end"/>
      </w:r>
    </w:p>
    <w:p w14:paraId="7DE9BCC6" w14:textId="77777777" w:rsidR="00457F3C" w:rsidRDefault="00457F3C">
      <w:pPr>
        <w:pStyle w:val="TOC2"/>
        <w:tabs>
          <w:tab w:val="right" w:leader="dot" w:pos="9010"/>
        </w:tabs>
        <w:rPr>
          <w:rFonts w:eastAsiaTheme="minorEastAsia" w:cstheme="minorBidi"/>
          <w:b w:val="0"/>
          <w:bCs w:val="0"/>
          <w:noProof/>
          <w:sz w:val="24"/>
          <w:szCs w:val="24"/>
        </w:rPr>
      </w:pPr>
      <w:r w:rsidRPr="00B50471">
        <w:rPr>
          <w:rFonts w:asciiTheme="majorHAnsi" w:hAnsiTheme="majorHAnsi"/>
          <w:noProof/>
          <w:color w:val="0070C0"/>
        </w:rPr>
        <w:t>3.3 Model selection for determinants</w:t>
      </w:r>
      <w:r>
        <w:rPr>
          <w:noProof/>
        </w:rPr>
        <w:tab/>
      </w:r>
      <w:r>
        <w:rPr>
          <w:noProof/>
        </w:rPr>
        <w:fldChar w:fldCharType="begin"/>
      </w:r>
      <w:r>
        <w:rPr>
          <w:noProof/>
        </w:rPr>
        <w:instrText xml:space="preserve"> PAGEREF _Toc461542565 \h </w:instrText>
      </w:r>
      <w:r>
        <w:rPr>
          <w:noProof/>
        </w:rPr>
      </w:r>
      <w:r>
        <w:rPr>
          <w:noProof/>
        </w:rPr>
        <w:fldChar w:fldCharType="separate"/>
      </w:r>
      <w:r>
        <w:rPr>
          <w:noProof/>
        </w:rPr>
        <w:t>10</w:t>
      </w:r>
      <w:r>
        <w:rPr>
          <w:noProof/>
        </w:rPr>
        <w:fldChar w:fldCharType="end"/>
      </w:r>
    </w:p>
    <w:p w14:paraId="0AFBE69A" w14:textId="77777777" w:rsidR="00457F3C" w:rsidRDefault="00457F3C">
      <w:pPr>
        <w:pStyle w:val="TOC2"/>
        <w:tabs>
          <w:tab w:val="right" w:leader="dot" w:pos="9010"/>
        </w:tabs>
        <w:rPr>
          <w:rFonts w:eastAsiaTheme="minorEastAsia" w:cstheme="minorBidi"/>
          <w:b w:val="0"/>
          <w:bCs w:val="0"/>
          <w:noProof/>
          <w:sz w:val="24"/>
          <w:szCs w:val="24"/>
        </w:rPr>
      </w:pPr>
      <w:r w:rsidRPr="00B50471">
        <w:rPr>
          <w:rFonts w:asciiTheme="majorHAnsi" w:hAnsiTheme="majorHAnsi"/>
          <w:noProof/>
          <w:color w:val="0070C0"/>
        </w:rPr>
        <w:t>3.4 Proportional hazards (PH)</w:t>
      </w:r>
      <w:r>
        <w:rPr>
          <w:noProof/>
        </w:rPr>
        <w:tab/>
      </w:r>
      <w:r>
        <w:rPr>
          <w:noProof/>
        </w:rPr>
        <w:fldChar w:fldCharType="begin"/>
      </w:r>
      <w:r>
        <w:rPr>
          <w:noProof/>
        </w:rPr>
        <w:instrText xml:space="preserve"> PAGEREF _Toc461542566 \h </w:instrText>
      </w:r>
      <w:r>
        <w:rPr>
          <w:noProof/>
        </w:rPr>
      </w:r>
      <w:r>
        <w:rPr>
          <w:noProof/>
        </w:rPr>
        <w:fldChar w:fldCharType="separate"/>
      </w:r>
      <w:r>
        <w:rPr>
          <w:noProof/>
        </w:rPr>
        <w:t>10</w:t>
      </w:r>
      <w:r>
        <w:rPr>
          <w:noProof/>
        </w:rPr>
        <w:fldChar w:fldCharType="end"/>
      </w:r>
    </w:p>
    <w:p w14:paraId="7CCA605B" w14:textId="77777777" w:rsidR="00457F3C" w:rsidRDefault="00457F3C">
      <w:pPr>
        <w:pStyle w:val="TOC2"/>
        <w:tabs>
          <w:tab w:val="right" w:leader="dot" w:pos="9010"/>
        </w:tabs>
        <w:rPr>
          <w:rFonts w:eastAsiaTheme="minorEastAsia" w:cstheme="minorBidi"/>
          <w:b w:val="0"/>
          <w:bCs w:val="0"/>
          <w:noProof/>
          <w:sz w:val="24"/>
          <w:szCs w:val="24"/>
        </w:rPr>
      </w:pPr>
      <w:r w:rsidRPr="00B50471">
        <w:rPr>
          <w:rFonts w:asciiTheme="majorHAnsi" w:hAnsiTheme="majorHAnsi"/>
          <w:noProof/>
          <w:color w:val="0070C0"/>
        </w:rPr>
        <w:t>3.5 Population attributable risk</w:t>
      </w:r>
      <w:r>
        <w:rPr>
          <w:noProof/>
        </w:rPr>
        <w:tab/>
      </w:r>
      <w:r>
        <w:rPr>
          <w:noProof/>
        </w:rPr>
        <w:fldChar w:fldCharType="begin"/>
      </w:r>
      <w:r>
        <w:rPr>
          <w:noProof/>
        </w:rPr>
        <w:instrText xml:space="preserve"> PAGEREF _Toc461542567 \h </w:instrText>
      </w:r>
      <w:r>
        <w:rPr>
          <w:noProof/>
        </w:rPr>
      </w:r>
      <w:r>
        <w:rPr>
          <w:noProof/>
        </w:rPr>
        <w:fldChar w:fldCharType="separate"/>
      </w:r>
      <w:r>
        <w:rPr>
          <w:noProof/>
        </w:rPr>
        <w:t>11</w:t>
      </w:r>
      <w:r>
        <w:rPr>
          <w:noProof/>
        </w:rPr>
        <w:fldChar w:fldCharType="end"/>
      </w:r>
    </w:p>
    <w:p w14:paraId="7ADF8F05" w14:textId="77777777" w:rsidR="00457F3C" w:rsidRDefault="00457F3C">
      <w:pPr>
        <w:pStyle w:val="TOC2"/>
        <w:tabs>
          <w:tab w:val="right" w:leader="dot" w:pos="9010"/>
        </w:tabs>
        <w:rPr>
          <w:rFonts w:eastAsiaTheme="minorEastAsia" w:cstheme="minorBidi"/>
          <w:b w:val="0"/>
          <w:bCs w:val="0"/>
          <w:noProof/>
          <w:sz w:val="24"/>
          <w:szCs w:val="24"/>
        </w:rPr>
      </w:pPr>
      <w:r w:rsidRPr="00B50471">
        <w:rPr>
          <w:rFonts w:asciiTheme="majorHAnsi" w:hAnsiTheme="majorHAnsi"/>
          <w:noProof/>
          <w:color w:val="0070C0"/>
        </w:rPr>
        <w:t>3.6 Finding the optimal cut points</w:t>
      </w:r>
      <w:r>
        <w:rPr>
          <w:noProof/>
        </w:rPr>
        <w:tab/>
      </w:r>
      <w:r>
        <w:rPr>
          <w:noProof/>
        </w:rPr>
        <w:fldChar w:fldCharType="begin"/>
      </w:r>
      <w:r>
        <w:rPr>
          <w:noProof/>
        </w:rPr>
        <w:instrText xml:space="preserve"> PAGEREF _Toc461542568 \h </w:instrText>
      </w:r>
      <w:r>
        <w:rPr>
          <w:noProof/>
        </w:rPr>
      </w:r>
      <w:r>
        <w:rPr>
          <w:noProof/>
        </w:rPr>
        <w:fldChar w:fldCharType="separate"/>
      </w:r>
      <w:r>
        <w:rPr>
          <w:noProof/>
        </w:rPr>
        <w:t>11</w:t>
      </w:r>
      <w:r>
        <w:rPr>
          <w:noProof/>
        </w:rPr>
        <w:fldChar w:fldCharType="end"/>
      </w:r>
    </w:p>
    <w:p w14:paraId="6D7EBEB5" w14:textId="77777777" w:rsidR="00457F3C" w:rsidRDefault="00457F3C">
      <w:pPr>
        <w:pStyle w:val="TOC2"/>
        <w:tabs>
          <w:tab w:val="right" w:leader="dot" w:pos="9010"/>
        </w:tabs>
        <w:rPr>
          <w:rFonts w:eastAsiaTheme="minorEastAsia" w:cstheme="minorBidi"/>
          <w:b w:val="0"/>
          <w:bCs w:val="0"/>
          <w:noProof/>
          <w:sz w:val="24"/>
          <w:szCs w:val="24"/>
        </w:rPr>
      </w:pPr>
      <w:r w:rsidRPr="00B50471">
        <w:rPr>
          <w:rFonts w:asciiTheme="majorHAnsi" w:hAnsiTheme="majorHAnsi"/>
          <w:noProof/>
          <w:color w:val="0070C0"/>
        </w:rPr>
        <w:t>3.7 Predicting dose to achieve 95% efficacy</w:t>
      </w:r>
      <w:r>
        <w:rPr>
          <w:noProof/>
        </w:rPr>
        <w:tab/>
      </w:r>
      <w:r>
        <w:rPr>
          <w:noProof/>
        </w:rPr>
        <w:fldChar w:fldCharType="begin"/>
      </w:r>
      <w:r>
        <w:rPr>
          <w:noProof/>
        </w:rPr>
        <w:instrText xml:space="preserve"> PAGEREF _Toc461542569 \h </w:instrText>
      </w:r>
      <w:r>
        <w:rPr>
          <w:noProof/>
        </w:rPr>
      </w:r>
      <w:r>
        <w:rPr>
          <w:noProof/>
        </w:rPr>
        <w:fldChar w:fldCharType="separate"/>
      </w:r>
      <w:r>
        <w:rPr>
          <w:noProof/>
        </w:rPr>
        <w:t>12</w:t>
      </w:r>
      <w:r>
        <w:rPr>
          <w:noProof/>
        </w:rPr>
        <w:fldChar w:fldCharType="end"/>
      </w:r>
    </w:p>
    <w:p w14:paraId="32670464" w14:textId="77777777" w:rsidR="00457F3C" w:rsidRDefault="00457F3C">
      <w:pPr>
        <w:pStyle w:val="TOC2"/>
        <w:tabs>
          <w:tab w:val="right" w:leader="dot" w:pos="9010"/>
        </w:tabs>
        <w:rPr>
          <w:rFonts w:eastAsiaTheme="minorEastAsia" w:cstheme="minorBidi"/>
          <w:b w:val="0"/>
          <w:bCs w:val="0"/>
          <w:noProof/>
          <w:sz w:val="24"/>
          <w:szCs w:val="24"/>
        </w:rPr>
      </w:pPr>
      <w:r w:rsidRPr="00B50471">
        <w:rPr>
          <w:rFonts w:asciiTheme="majorHAnsi" w:hAnsiTheme="majorHAnsi"/>
          <w:noProof/>
          <w:color w:val="0070C0"/>
        </w:rPr>
        <w:t>3.8 Estimating proportion of globally underdosed patients</w:t>
      </w:r>
      <w:r>
        <w:rPr>
          <w:noProof/>
        </w:rPr>
        <w:tab/>
      </w:r>
      <w:r>
        <w:rPr>
          <w:noProof/>
        </w:rPr>
        <w:fldChar w:fldCharType="begin"/>
      </w:r>
      <w:r>
        <w:rPr>
          <w:noProof/>
        </w:rPr>
        <w:instrText xml:space="preserve"> PAGEREF _Toc461542570 \h </w:instrText>
      </w:r>
      <w:r>
        <w:rPr>
          <w:noProof/>
        </w:rPr>
      </w:r>
      <w:r>
        <w:rPr>
          <w:noProof/>
        </w:rPr>
        <w:fldChar w:fldCharType="separate"/>
      </w:r>
      <w:r>
        <w:rPr>
          <w:noProof/>
        </w:rPr>
        <w:t>12</w:t>
      </w:r>
      <w:r>
        <w:rPr>
          <w:noProof/>
        </w:rPr>
        <w:fldChar w:fldCharType="end"/>
      </w:r>
    </w:p>
    <w:p w14:paraId="352033B1" w14:textId="77777777" w:rsidR="00457F3C" w:rsidRDefault="00457F3C">
      <w:pPr>
        <w:pStyle w:val="TOC1"/>
        <w:tabs>
          <w:tab w:val="right" w:leader="dot" w:pos="9010"/>
        </w:tabs>
        <w:rPr>
          <w:rFonts w:eastAsiaTheme="minorEastAsia" w:cstheme="minorBidi"/>
          <w:b w:val="0"/>
          <w:bCs w:val="0"/>
          <w:noProof/>
        </w:rPr>
      </w:pPr>
      <w:r>
        <w:rPr>
          <w:noProof/>
        </w:rPr>
        <w:t>4. PRISMA Statement</w:t>
      </w:r>
      <w:r>
        <w:rPr>
          <w:noProof/>
        </w:rPr>
        <w:tab/>
      </w:r>
      <w:r>
        <w:rPr>
          <w:noProof/>
        </w:rPr>
        <w:fldChar w:fldCharType="begin"/>
      </w:r>
      <w:r>
        <w:rPr>
          <w:noProof/>
        </w:rPr>
        <w:instrText xml:space="preserve"> PAGEREF _Toc461542571 \h </w:instrText>
      </w:r>
      <w:r>
        <w:rPr>
          <w:noProof/>
        </w:rPr>
      </w:r>
      <w:r>
        <w:rPr>
          <w:noProof/>
        </w:rPr>
        <w:fldChar w:fldCharType="separate"/>
      </w:r>
      <w:r>
        <w:rPr>
          <w:noProof/>
        </w:rPr>
        <w:t>12</w:t>
      </w:r>
      <w:r>
        <w:rPr>
          <w:noProof/>
        </w:rPr>
        <w:fldChar w:fldCharType="end"/>
      </w:r>
    </w:p>
    <w:p w14:paraId="2F6BCC18" w14:textId="77777777" w:rsidR="00457F3C" w:rsidRDefault="00457F3C">
      <w:pPr>
        <w:pStyle w:val="TOC1"/>
        <w:tabs>
          <w:tab w:val="right" w:leader="dot" w:pos="9010"/>
        </w:tabs>
        <w:rPr>
          <w:rFonts w:eastAsiaTheme="minorEastAsia" w:cstheme="minorBidi"/>
          <w:b w:val="0"/>
          <w:bCs w:val="0"/>
          <w:noProof/>
        </w:rPr>
      </w:pPr>
      <w:r>
        <w:rPr>
          <w:noProof/>
        </w:rPr>
        <w:t>5. Tools</w:t>
      </w:r>
      <w:r>
        <w:rPr>
          <w:noProof/>
        </w:rPr>
        <w:tab/>
      </w:r>
      <w:r>
        <w:rPr>
          <w:noProof/>
        </w:rPr>
        <w:fldChar w:fldCharType="begin"/>
      </w:r>
      <w:r>
        <w:rPr>
          <w:noProof/>
        </w:rPr>
        <w:instrText xml:space="preserve"> PAGEREF _Toc461542572 \h </w:instrText>
      </w:r>
      <w:r>
        <w:rPr>
          <w:noProof/>
        </w:rPr>
      </w:r>
      <w:r>
        <w:rPr>
          <w:noProof/>
        </w:rPr>
        <w:fldChar w:fldCharType="separate"/>
      </w:r>
      <w:r>
        <w:rPr>
          <w:noProof/>
        </w:rPr>
        <w:t>12</w:t>
      </w:r>
      <w:r>
        <w:rPr>
          <w:noProof/>
        </w:rPr>
        <w:fldChar w:fldCharType="end"/>
      </w:r>
    </w:p>
    <w:p w14:paraId="55817070" w14:textId="77777777" w:rsidR="00457F3C" w:rsidRDefault="00457F3C">
      <w:pPr>
        <w:pStyle w:val="TOC1"/>
        <w:tabs>
          <w:tab w:val="right" w:leader="dot" w:pos="9010"/>
        </w:tabs>
        <w:rPr>
          <w:rFonts w:eastAsiaTheme="minorEastAsia" w:cstheme="minorBidi"/>
          <w:b w:val="0"/>
          <w:bCs w:val="0"/>
          <w:noProof/>
        </w:rPr>
      </w:pPr>
      <w:r>
        <w:rPr>
          <w:noProof/>
        </w:rPr>
        <w:t>6. Study Group Governance, Management, Coordination and Publication Policy</w:t>
      </w:r>
      <w:r>
        <w:rPr>
          <w:noProof/>
        </w:rPr>
        <w:tab/>
      </w:r>
      <w:r>
        <w:rPr>
          <w:noProof/>
        </w:rPr>
        <w:fldChar w:fldCharType="begin"/>
      </w:r>
      <w:r>
        <w:rPr>
          <w:noProof/>
        </w:rPr>
        <w:instrText xml:space="preserve"> PAGEREF _Toc461542573 \h </w:instrText>
      </w:r>
      <w:r>
        <w:rPr>
          <w:noProof/>
        </w:rPr>
      </w:r>
      <w:r>
        <w:rPr>
          <w:noProof/>
        </w:rPr>
        <w:fldChar w:fldCharType="separate"/>
      </w:r>
      <w:r>
        <w:rPr>
          <w:noProof/>
        </w:rPr>
        <w:t>12</w:t>
      </w:r>
      <w:r>
        <w:rPr>
          <w:noProof/>
        </w:rPr>
        <w:fldChar w:fldCharType="end"/>
      </w:r>
    </w:p>
    <w:p w14:paraId="61C3499C" w14:textId="77777777" w:rsidR="00457F3C" w:rsidRDefault="00457F3C">
      <w:pPr>
        <w:pStyle w:val="TOC1"/>
        <w:tabs>
          <w:tab w:val="right" w:leader="dot" w:pos="9010"/>
        </w:tabs>
        <w:rPr>
          <w:rFonts w:eastAsiaTheme="minorEastAsia" w:cstheme="minorBidi"/>
          <w:b w:val="0"/>
          <w:bCs w:val="0"/>
          <w:noProof/>
        </w:rPr>
      </w:pPr>
      <w:r>
        <w:rPr>
          <w:noProof/>
        </w:rPr>
        <w:t>7. References</w:t>
      </w:r>
      <w:r>
        <w:rPr>
          <w:noProof/>
        </w:rPr>
        <w:tab/>
      </w:r>
      <w:r>
        <w:rPr>
          <w:noProof/>
        </w:rPr>
        <w:fldChar w:fldCharType="begin"/>
      </w:r>
      <w:r>
        <w:rPr>
          <w:noProof/>
        </w:rPr>
        <w:instrText xml:space="preserve"> PAGEREF _Toc461542574 \h </w:instrText>
      </w:r>
      <w:r>
        <w:rPr>
          <w:noProof/>
        </w:rPr>
      </w:r>
      <w:r>
        <w:rPr>
          <w:noProof/>
        </w:rPr>
        <w:fldChar w:fldCharType="separate"/>
      </w:r>
      <w:r>
        <w:rPr>
          <w:noProof/>
        </w:rPr>
        <w:t>13</w:t>
      </w:r>
      <w:r>
        <w:rPr>
          <w:noProof/>
        </w:rPr>
        <w:fldChar w:fldCharType="end"/>
      </w:r>
    </w:p>
    <w:p w14:paraId="1BEBC61B" w14:textId="77777777" w:rsidR="00457F3C" w:rsidRDefault="00457F3C">
      <w:pPr>
        <w:pStyle w:val="TOC1"/>
        <w:tabs>
          <w:tab w:val="right" w:leader="dot" w:pos="9010"/>
        </w:tabs>
        <w:rPr>
          <w:rFonts w:eastAsiaTheme="minorEastAsia" w:cstheme="minorBidi"/>
          <w:b w:val="0"/>
          <w:bCs w:val="0"/>
          <w:noProof/>
        </w:rPr>
      </w:pPr>
      <w:r>
        <w:rPr>
          <w:noProof/>
        </w:rPr>
        <w:t>8. Annex</w:t>
      </w:r>
      <w:r>
        <w:rPr>
          <w:noProof/>
        </w:rPr>
        <w:tab/>
      </w:r>
      <w:r>
        <w:rPr>
          <w:noProof/>
        </w:rPr>
        <w:fldChar w:fldCharType="begin"/>
      </w:r>
      <w:r>
        <w:rPr>
          <w:noProof/>
        </w:rPr>
        <w:instrText xml:space="preserve"> PAGEREF _Toc461542575 \h </w:instrText>
      </w:r>
      <w:r>
        <w:rPr>
          <w:noProof/>
        </w:rPr>
      </w:r>
      <w:r>
        <w:rPr>
          <w:noProof/>
        </w:rPr>
        <w:fldChar w:fldCharType="separate"/>
      </w:r>
      <w:r>
        <w:rPr>
          <w:noProof/>
        </w:rPr>
        <w:t>13</w:t>
      </w:r>
      <w:r>
        <w:rPr>
          <w:noProof/>
        </w:rPr>
        <w:fldChar w:fldCharType="end"/>
      </w:r>
    </w:p>
    <w:p w14:paraId="3F1BCAE2" w14:textId="77777777" w:rsidR="00457F3C" w:rsidRPr="003F41FF" w:rsidRDefault="00457F3C" w:rsidP="00457F3C">
      <w:pPr>
        <w:rPr>
          <w:b/>
          <w:bCs/>
          <w:sz w:val="28"/>
          <w:szCs w:val="28"/>
          <w:lang w:val="en-AU"/>
        </w:rPr>
      </w:pPr>
      <w:r w:rsidRPr="003F41FF">
        <w:rPr>
          <w:b/>
          <w:bCs/>
          <w:sz w:val="28"/>
          <w:szCs w:val="28"/>
          <w:lang w:val="en-AU"/>
        </w:rPr>
        <w:fldChar w:fldCharType="end"/>
      </w:r>
    </w:p>
    <w:p w14:paraId="2843081C" w14:textId="77777777" w:rsidR="00457F3C" w:rsidRPr="003F41FF" w:rsidRDefault="00457F3C" w:rsidP="00457F3C">
      <w:pPr>
        <w:rPr>
          <w:b/>
          <w:bCs/>
          <w:sz w:val="28"/>
          <w:szCs w:val="28"/>
          <w:lang w:val="en-AU"/>
        </w:rPr>
      </w:pPr>
    </w:p>
    <w:p w14:paraId="2E9AE301" w14:textId="77777777" w:rsidR="00457F3C" w:rsidRPr="003F41FF" w:rsidRDefault="00457F3C" w:rsidP="00457F3C">
      <w:pPr>
        <w:rPr>
          <w:rFonts w:asciiTheme="majorHAnsi" w:eastAsiaTheme="majorEastAsia" w:hAnsiTheme="majorHAnsi" w:cstheme="majorBidi"/>
          <w:color w:val="2E74B5" w:themeColor="accent1" w:themeShade="BF"/>
          <w:sz w:val="26"/>
          <w:szCs w:val="26"/>
          <w:lang w:val="en-AU"/>
        </w:rPr>
      </w:pPr>
      <w:r w:rsidRPr="003F41FF">
        <w:rPr>
          <w:lang w:val="en-AU"/>
        </w:rPr>
        <w:br w:type="page"/>
      </w:r>
    </w:p>
    <w:p w14:paraId="0703661F" w14:textId="77777777" w:rsidR="00457F3C" w:rsidRPr="003F41FF" w:rsidRDefault="00457F3C" w:rsidP="00457F3C">
      <w:pPr>
        <w:pStyle w:val="Heading1"/>
      </w:pPr>
      <w:bookmarkStart w:id="4" w:name="_Toc457660138"/>
      <w:bookmarkStart w:id="5" w:name="_Toc461542550"/>
      <w:r w:rsidRPr="003F41FF">
        <w:lastRenderedPageBreak/>
        <w:t>1. Introduction and Rationale</w:t>
      </w:r>
      <w:bookmarkEnd w:id="4"/>
      <w:bookmarkEnd w:id="5"/>
    </w:p>
    <w:p w14:paraId="2871750D" w14:textId="77777777" w:rsidR="00457F3C" w:rsidRPr="003F41FF" w:rsidRDefault="00457F3C" w:rsidP="00457F3C">
      <w:pPr>
        <w:rPr>
          <w:bCs/>
          <w:i/>
          <w:color w:val="000000"/>
          <w:lang w:val="en-AU"/>
        </w:rPr>
      </w:pPr>
    </w:p>
    <w:p w14:paraId="23A439A2" w14:textId="77777777" w:rsidR="00457F3C" w:rsidRPr="003F41FF" w:rsidRDefault="00457F3C" w:rsidP="001B63C5">
      <w:pPr>
        <w:jc w:val="both"/>
        <w:rPr>
          <w:lang w:val="en-AU"/>
        </w:rPr>
      </w:pPr>
      <w:r w:rsidRPr="003F41FF">
        <w:rPr>
          <w:bCs/>
          <w:i/>
          <w:color w:val="000000"/>
          <w:lang w:val="en-AU"/>
        </w:rPr>
        <w:t>Plasmodium vivax</w:t>
      </w:r>
      <w:r w:rsidRPr="003F41FF">
        <w:rPr>
          <w:bCs/>
          <w:color w:val="000000"/>
          <w:lang w:val="en-AU"/>
        </w:rPr>
        <w:t xml:space="preserve"> remains widespread, </w:t>
      </w:r>
      <w:r w:rsidR="00C91285">
        <w:rPr>
          <w:bCs/>
          <w:color w:val="000000"/>
          <w:lang w:val="en-AU"/>
        </w:rPr>
        <w:t xml:space="preserve">and </w:t>
      </w:r>
      <w:r w:rsidRPr="003F41FF">
        <w:rPr>
          <w:bCs/>
          <w:color w:val="000000"/>
          <w:lang w:val="en-AU"/>
        </w:rPr>
        <w:t xml:space="preserve">is becoming the </w:t>
      </w:r>
      <w:r w:rsidR="00C91285">
        <w:rPr>
          <w:bCs/>
          <w:color w:val="000000"/>
          <w:lang w:val="en-AU"/>
        </w:rPr>
        <w:t>pre</w:t>
      </w:r>
      <w:r w:rsidRPr="003F41FF">
        <w:rPr>
          <w:bCs/>
          <w:color w:val="000000"/>
          <w:lang w:val="en-AU"/>
        </w:rPr>
        <w:t>dominant cause of malaria</w:t>
      </w:r>
      <w:r w:rsidR="00C91285">
        <w:rPr>
          <w:bCs/>
          <w:color w:val="000000"/>
          <w:lang w:val="en-AU"/>
        </w:rPr>
        <w:t xml:space="preserve"> </w:t>
      </w:r>
      <w:r w:rsidR="00C91285" w:rsidRPr="003F41FF">
        <w:rPr>
          <w:bCs/>
          <w:color w:val="000000"/>
          <w:lang w:val="en-AU"/>
        </w:rPr>
        <w:t>outside of Africa</w:t>
      </w:r>
      <w:r w:rsidRPr="003F41FF">
        <w:rPr>
          <w:bCs/>
          <w:color w:val="000000"/>
          <w:lang w:val="en-AU"/>
        </w:rPr>
        <w:t xml:space="preserve">. </w:t>
      </w:r>
      <w:r w:rsidR="00C91285">
        <w:rPr>
          <w:bCs/>
          <w:color w:val="000000"/>
          <w:lang w:val="en-AU"/>
        </w:rPr>
        <w:t>V</w:t>
      </w:r>
      <w:r w:rsidRPr="003F41FF">
        <w:rPr>
          <w:bCs/>
          <w:color w:val="000000"/>
          <w:lang w:val="en-AU"/>
        </w:rPr>
        <w:t xml:space="preserve">ivax malaria is associated with recurrent symptomatic illness and anaemia with </w:t>
      </w:r>
      <w:r w:rsidR="00C91285">
        <w:rPr>
          <w:bCs/>
          <w:color w:val="000000"/>
          <w:lang w:val="en-AU"/>
        </w:rPr>
        <w:t xml:space="preserve">increasing recognition of an </w:t>
      </w:r>
      <w:r w:rsidRPr="003F41FF">
        <w:rPr>
          <w:bCs/>
          <w:color w:val="000000"/>
          <w:lang w:val="en-AU"/>
        </w:rPr>
        <w:t xml:space="preserve">attributable morbidity and mortality. Recurrent </w:t>
      </w:r>
      <w:r w:rsidRPr="001B63C5">
        <w:rPr>
          <w:bCs/>
          <w:i/>
          <w:color w:val="000000"/>
          <w:lang w:val="en-AU"/>
        </w:rPr>
        <w:t>P. vivax</w:t>
      </w:r>
      <w:r w:rsidRPr="003F41FF">
        <w:rPr>
          <w:bCs/>
          <w:color w:val="000000"/>
          <w:lang w:val="en-AU"/>
        </w:rPr>
        <w:t xml:space="preserve"> can arise from recrudescence (treatment failure), reinfection (new infections from an infected mosquito bite) and relapse (reactivation from dormant liver stages). Whilst it is currently impossible to differentiate reliably between these alternatives, early recurrence is more likely to be due to recrudescence</w:t>
      </w:r>
      <w:r w:rsidR="00C91285">
        <w:rPr>
          <w:bCs/>
          <w:color w:val="000000"/>
          <w:lang w:val="en-AU"/>
        </w:rPr>
        <w:t xml:space="preserve"> or relapse</w:t>
      </w:r>
      <w:r w:rsidRPr="003F41FF">
        <w:rPr>
          <w:bCs/>
          <w:color w:val="000000"/>
          <w:lang w:val="en-AU"/>
        </w:rPr>
        <w:t xml:space="preserve">, whereas later recurrences are more likely to be due to relapse </w:t>
      </w:r>
      <w:r w:rsidR="00C91285">
        <w:rPr>
          <w:bCs/>
          <w:color w:val="000000"/>
          <w:lang w:val="en-AU"/>
        </w:rPr>
        <w:t xml:space="preserve">or </w:t>
      </w:r>
      <w:r w:rsidRPr="003F41FF">
        <w:rPr>
          <w:bCs/>
          <w:color w:val="000000"/>
          <w:lang w:val="en-AU"/>
        </w:rPr>
        <w:t xml:space="preserve">reinfection. The risk, frequency and timing of recurrence is dependent upon host, parasite and drug factors including: antimalarial drug resistance, the pharmacokinetic profile of the antimalarial agents administered, the use of hypnozoitocidal drugs and </w:t>
      </w:r>
      <w:r w:rsidR="00C91285">
        <w:rPr>
          <w:bCs/>
          <w:color w:val="000000"/>
          <w:lang w:val="en-AU"/>
        </w:rPr>
        <w:t>geographical location</w:t>
      </w:r>
      <w:r w:rsidRPr="003F41FF">
        <w:rPr>
          <w:bCs/>
          <w:color w:val="000000"/>
          <w:lang w:val="en-AU"/>
        </w:rPr>
        <w:t xml:space="preserve"> (relapse patterns and endemicity). The relative contributions of these risk factors have not been evaluated</w:t>
      </w:r>
      <w:r w:rsidR="00C91285">
        <w:rPr>
          <w:bCs/>
          <w:color w:val="000000"/>
          <w:lang w:val="en-AU"/>
        </w:rPr>
        <w:t xml:space="preserve"> </w:t>
      </w:r>
      <w:r w:rsidR="00C91285" w:rsidRPr="003F41FF">
        <w:rPr>
          <w:bCs/>
          <w:color w:val="000000"/>
          <w:lang w:val="en-AU"/>
        </w:rPr>
        <w:t>comprehensively</w:t>
      </w:r>
      <w:r w:rsidRPr="003F41FF">
        <w:rPr>
          <w:bCs/>
          <w:color w:val="000000"/>
          <w:lang w:val="en-AU"/>
        </w:rPr>
        <w:t xml:space="preserve">. If the risks and benefits of radical cure are to be quantified, there is a need </w:t>
      </w:r>
      <w:r w:rsidR="00C91285">
        <w:rPr>
          <w:bCs/>
          <w:color w:val="000000"/>
          <w:lang w:val="en-AU"/>
        </w:rPr>
        <w:t xml:space="preserve">for a greater </w:t>
      </w:r>
      <w:r w:rsidRPr="003F41FF">
        <w:rPr>
          <w:bCs/>
          <w:color w:val="000000"/>
          <w:lang w:val="en-AU"/>
        </w:rPr>
        <w:t>understand</w:t>
      </w:r>
      <w:r w:rsidR="00C91285">
        <w:rPr>
          <w:bCs/>
          <w:color w:val="000000"/>
          <w:lang w:val="en-AU"/>
        </w:rPr>
        <w:t>ing of</w:t>
      </w:r>
      <w:r w:rsidRPr="003F41FF">
        <w:rPr>
          <w:bCs/>
          <w:color w:val="000000"/>
          <w:lang w:val="en-AU"/>
        </w:rPr>
        <w:t xml:space="preserve"> the factors that impact on recurrence, with and without radical therapy.</w:t>
      </w:r>
    </w:p>
    <w:p w14:paraId="6E43C162" w14:textId="77777777" w:rsidR="00457F3C" w:rsidRPr="003F41FF" w:rsidRDefault="00457F3C" w:rsidP="00457F3C">
      <w:pPr>
        <w:pStyle w:val="Heading2"/>
      </w:pPr>
    </w:p>
    <w:p w14:paraId="385EBC05" w14:textId="77777777" w:rsidR="00457F3C" w:rsidRPr="003F41FF" w:rsidRDefault="00457F3C" w:rsidP="00457F3C">
      <w:pPr>
        <w:pStyle w:val="Heading2"/>
        <w:rPr>
          <w:rFonts w:asciiTheme="majorHAnsi" w:hAnsiTheme="majorHAnsi"/>
          <w:color w:val="0070C0"/>
          <w:sz w:val="26"/>
          <w:szCs w:val="26"/>
        </w:rPr>
      </w:pPr>
      <w:bookmarkStart w:id="6" w:name="_Toc457660139"/>
      <w:bookmarkStart w:id="7" w:name="_Toc461542551"/>
      <w:r w:rsidRPr="003F41FF">
        <w:rPr>
          <w:rFonts w:asciiTheme="majorHAnsi" w:hAnsiTheme="majorHAnsi"/>
          <w:color w:val="0070C0"/>
          <w:sz w:val="26"/>
          <w:szCs w:val="26"/>
        </w:rPr>
        <w:t>1.2. Aim of the study</w:t>
      </w:r>
      <w:bookmarkEnd w:id="6"/>
      <w:bookmarkEnd w:id="7"/>
    </w:p>
    <w:p w14:paraId="255FE98E" w14:textId="77F51E60" w:rsidR="00457F3C" w:rsidRPr="003F41FF" w:rsidRDefault="00262784" w:rsidP="00262784">
      <w:pPr>
        <w:widowControl w:val="0"/>
        <w:autoSpaceDE w:val="0"/>
        <w:autoSpaceDN w:val="0"/>
        <w:adjustRightInd w:val="0"/>
        <w:jc w:val="both"/>
        <w:rPr>
          <w:rFonts w:cs="OpenSans"/>
          <w:color w:val="3E414B"/>
          <w:lang w:val="en-AU"/>
        </w:rPr>
      </w:pPr>
      <w:r>
        <w:rPr>
          <w:rFonts w:cs="OpenSans"/>
          <w:color w:val="3E414B"/>
          <w:lang w:val="en-AU"/>
        </w:rPr>
        <w:t>The aim</w:t>
      </w:r>
      <w:r w:rsidR="00457F3C" w:rsidRPr="003F41FF">
        <w:rPr>
          <w:rFonts w:cs="OpenSans"/>
          <w:color w:val="3E414B"/>
          <w:lang w:val="en-AU"/>
        </w:rPr>
        <w:t xml:space="preserve"> of this study is to assess the risk for early vivax recurrence before day 28 or day 42 and </w:t>
      </w:r>
      <w:r>
        <w:rPr>
          <w:rFonts w:cs="OpenSans"/>
          <w:color w:val="3E414B"/>
          <w:lang w:val="en-AU"/>
        </w:rPr>
        <w:t xml:space="preserve">identify </w:t>
      </w:r>
      <w:r w:rsidR="00457F3C" w:rsidRPr="003F41FF">
        <w:rPr>
          <w:rFonts w:cs="OpenSans"/>
          <w:color w:val="3E414B"/>
          <w:lang w:val="en-AU"/>
        </w:rPr>
        <w:t>associated risk factors (including mg/kg dose of chloroquine, ACTs and primaquine).</w:t>
      </w:r>
    </w:p>
    <w:p w14:paraId="6B8FA8FA" w14:textId="77777777" w:rsidR="00457F3C" w:rsidRPr="003F41FF" w:rsidRDefault="00457F3C" w:rsidP="00457F3C">
      <w:pPr>
        <w:pStyle w:val="Heading2"/>
      </w:pPr>
    </w:p>
    <w:p w14:paraId="01526819" w14:textId="77777777" w:rsidR="00457F3C" w:rsidRPr="003F41FF" w:rsidRDefault="00457F3C" w:rsidP="00457F3C">
      <w:pPr>
        <w:pStyle w:val="Heading2"/>
        <w:rPr>
          <w:rFonts w:asciiTheme="majorHAnsi" w:hAnsiTheme="majorHAnsi"/>
          <w:color w:val="0070C0"/>
          <w:sz w:val="26"/>
          <w:szCs w:val="26"/>
        </w:rPr>
      </w:pPr>
      <w:bookmarkStart w:id="8" w:name="_Toc457660140"/>
      <w:bookmarkStart w:id="9" w:name="_Toc461542552"/>
      <w:r w:rsidRPr="003F41FF">
        <w:rPr>
          <w:rFonts w:asciiTheme="majorHAnsi" w:hAnsiTheme="majorHAnsi"/>
          <w:color w:val="0070C0"/>
          <w:sz w:val="26"/>
          <w:szCs w:val="26"/>
        </w:rPr>
        <w:t>1.3. Eligibility criteria for inclusion in pooled analysis</w:t>
      </w:r>
      <w:bookmarkEnd w:id="8"/>
      <w:bookmarkEnd w:id="9"/>
      <w:r w:rsidRPr="003F41FF">
        <w:rPr>
          <w:rFonts w:asciiTheme="majorHAnsi" w:hAnsiTheme="majorHAnsi"/>
          <w:color w:val="0070C0"/>
          <w:sz w:val="26"/>
          <w:szCs w:val="26"/>
        </w:rPr>
        <w:t xml:space="preserve"> </w:t>
      </w:r>
    </w:p>
    <w:p w14:paraId="51704280" w14:textId="77777777" w:rsidR="00457F3C" w:rsidRPr="003F41FF" w:rsidRDefault="00457F3C" w:rsidP="00457F3C">
      <w:pPr>
        <w:pStyle w:val="Heading2"/>
        <w:keepLines/>
        <w:numPr>
          <w:ilvl w:val="1"/>
          <w:numId w:val="2"/>
        </w:numPr>
        <w:spacing w:before="200" w:after="0"/>
        <w:jc w:val="both"/>
        <w:rPr>
          <w:rStyle w:val="Strong"/>
          <w:rFonts w:asciiTheme="minorHAnsi" w:eastAsiaTheme="minorHAnsi" w:hAnsiTheme="minorHAnsi" w:cs="Calibri"/>
          <w:b/>
          <w:bCs/>
          <w:color w:val="000000" w:themeColor="text1"/>
          <w:szCs w:val="22"/>
        </w:rPr>
      </w:pPr>
      <w:bookmarkStart w:id="10" w:name="_Toc457660141"/>
      <w:bookmarkStart w:id="11" w:name="_Toc461542553"/>
      <w:r w:rsidRPr="003F41FF">
        <w:rPr>
          <w:rStyle w:val="Strong"/>
          <w:rFonts w:asciiTheme="minorHAnsi" w:hAnsiTheme="minorHAnsi"/>
          <w:b/>
          <w:color w:val="000000" w:themeColor="text1"/>
          <w:szCs w:val="22"/>
        </w:rPr>
        <w:t>Essential inclusion criteria</w:t>
      </w:r>
      <w:bookmarkEnd w:id="10"/>
      <w:bookmarkEnd w:id="11"/>
      <w:r w:rsidRPr="003F41FF">
        <w:rPr>
          <w:rStyle w:val="Strong"/>
          <w:rFonts w:asciiTheme="minorHAnsi" w:hAnsiTheme="minorHAnsi"/>
          <w:b/>
          <w:color w:val="000000" w:themeColor="text1"/>
          <w:szCs w:val="22"/>
        </w:rPr>
        <w:t xml:space="preserve"> </w:t>
      </w:r>
    </w:p>
    <w:p w14:paraId="5AB403EA" w14:textId="571739D4" w:rsidR="00457F3C" w:rsidRPr="003F41FF" w:rsidRDefault="00457F3C" w:rsidP="00457F3C">
      <w:pPr>
        <w:pStyle w:val="ListParagraph"/>
        <w:numPr>
          <w:ilvl w:val="0"/>
          <w:numId w:val="5"/>
        </w:numPr>
        <w:spacing w:after="0"/>
      </w:pPr>
      <w:r w:rsidRPr="003F41FF">
        <w:t>Prospective clinical efficacy studies of uncomplicated vivax monoinfection</w:t>
      </w:r>
    </w:p>
    <w:p w14:paraId="4706FE06" w14:textId="77777777" w:rsidR="00457F3C" w:rsidRPr="003F41FF" w:rsidRDefault="00457F3C" w:rsidP="00457F3C">
      <w:pPr>
        <w:pStyle w:val="ListParagraph"/>
        <w:numPr>
          <w:ilvl w:val="0"/>
          <w:numId w:val="5"/>
        </w:numPr>
        <w:spacing w:after="0"/>
      </w:pPr>
      <w:r w:rsidRPr="003F41FF">
        <w:t>Asexual parasitaemia at enrolment</w:t>
      </w:r>
    </w:p>
    <w:p w14:paraId="724C1A19" w14:textId="77777777" w:rsidR="00457F3C" w:rsidRPr="003F41FF" w:rsidRDefault="00457F3C" w:rsidP="00457F3C">
      <w:pPr>
        <w:pStyle w:val="ListParagraph"/>
        <w:numPr>
          <w:ilvl w:val="0"/>
          <w:numId w:val="5"/>
        </w:numPr>
        <w:spacing w:after="0"/>
      </w:pPr>
      <w:r w:rsidRPr="003F41FF">
        <w:t>A minimum of 28 days of follow up</w:t>
      </w:r>
    </w:p>
    <w:p w14:paraId="6C921CD4" w14:textId="2BBDC4A3" w:rsidR="00457F3C" w:rsidRPr="003F41FF" w:rsidRDefault="00457F3C" w:rsidP="00457F3C">
      <w:pPr>
        <w:pStyle w:val="ListParagraph"/>
        <w:numPr>
          <w:ilvl w:val="0"/>
          <w:numId w:val="5"/>
        </w:numPr>
        <w:spacing w:after="0"/>
        <w:rPr>
          <w:rFonts w:cs="Calibri"/>
        </w:rPr>
      </w:pPr>
      <w:r w:rsidRPr="003F41FF">
        <w:t xml:space="preserve">Data available on </w:t>
      </w:r>
      <w:r w:rsidR="00C91285">
        <w:t xml:space="preserve">the </w:t>
      </w:r>
      <w:r w:rsidRPr="003F41FF">
        <w:t xml:space="preserve">exact dosage of schizontocidal treatment </w:t>
      </w:r>
      <w:r w:rsidR="00C91285">
        <w:t xml:space="preserve">administered to the </w:t>
      </w:r>
      <w:r w:rsidRPr="003F41FF">
        <w:t>patients</w:t>
      </w:r>
      <w:r w:rsidR="00C91285">
        <w:t xml:space="preserve"> and </w:t>
      </w:r>
      <w:r w:rsidRPr="003F41FF">
        <w:t>the use, timing and dose of primaquine</w:t>
      </w:r>
      <w:r w:rsidR="00C91285">
        <w:t>, according to the study protocol</w:t>
      </w:r>
    </w:p>
    <w:p w14:paraId="3C68D2A6" w14:textId="7F1D0542" w:rsidR="00457F3C" w:rsidRPr="003F41FF" w:rsidRDefault="00457F3C" w:rsidP="00457F3C">
      <w:pPr>
        <w:pStyle w:val="ListParagraph"/>
        <w:numPr>
          <w:ilvl w:val="0"/>
          <w:numId w:val="5"/>
        </w:numPr>
        <w:spacing w:after="0"/>
      </w:pPr>
      <w:r w:rsidRPr="003F41FF">
        <w:t xml:space="preserve">Study meta-data as described in the </w:t>
      </w:r>
      <w:hyperlink r:id="rId6" w:history="1">
        <w:r w:rsidRPr="003F41FF">
          <w:t>Clinical Data Management and Statistical Analysis Plan</w:t>
        </w:r>
      </w:hyperlink>
      <w:r w:rsidRPr="003F41FF">
        <w:t xml:space="preserve"> </w:t>
      </w:r>
      <w:r>
        <w:fldChar w:fldCharType="begin"/>
      </w:r>
      <w:r w:rsidR="00A4255F">
        <w:instrText xml:space="preserve"> ADDIN EN.CITE &lt;EndNote&gt;&lt;Cite&gt;&lt;Author&gt;WorldWide Antimalarial Resistance Network&lt;/Author&gt;&lt;Year&gt;2012&lt;/Year&gt;&lt;RecNum&gt;56&lt;/RecNum&gt;&lt;DisplayText&gt;(1)&lt;/DisplayText&gt;&lt;record&gt;&lt;rec-number&gt;56&lt;/rec-number&gt;&lt;foreign-keys&gt;&lt;key app="EN" db-id="zrz59pvfoxvewle2ee8xrwt2292evzwdsrse" timestamp="0"&gt;56&lt;/key&gt;&lt;/foreign-keys&gt;&lt;ref-type name="Report"&gt;27&lt;/ref-type&gt;&lt;contributors&gt;&lt;authors&gt;&lt;author&gt;WorldWide Antimalarial Resistance Network,&lt;/author&gt;&lt;/authors&gt;&lt;tertiary-authors&gt;&lt;author&gt;WWARN&lt;/author&gt;&lt;/tertiary-authors&gt;&lt;/contributors&gt;&lt;titles&gt;&lt;title&gt;Data Management and Statistical Analysis Plan v1.2&lt;/title&gt;&lt;/titles&gt;&lt;dates&gt;&lt;year&gt;2012&lt;/year&gt;&lt;/dates&gt;&lt;pub-location&gt;Oxford&lt;/pub-location&gt;&lt;urls&gt;&lt;related-urls&gt;&lt;url&gt;http://www.wwarn.org/sites/default/files/ClinicalDMSAP.pdf&lt;/url&gt;&lt;/related-urls&gt;&lt;/urls&gt;&lt;access-date&gt;31 July 2016&lt;/access-date&gt;&lt;/record&gt;&lt;/Cite&gt;&lt;/EndNote&gt;</w:instrText>
      </w:r>
      <w:r>
        <w:fldChar w:fldCharType="separate"/>
      </w:r>
      <w:r w:rsidR="00A4255F">
        <w:rPr>
          <w:noProof/>
        </w:rPr>
        <w:t>(1)</w:t>
      </w:r>
      <w:r>
        <w:fldChar w:fldCharType="end"/>
      </w:r>
    </w:p>
    <w:p w14:paraId="1C65F7DC" w14:textId="77777777" w:rsidR="00457F3C" w:rsidRPr="003F41FF" w:rsidRDefault="00457F3C" w:rsidP="00457F3C">
      <w:pPr>
        <w:pStyle w:val="ListParagraph"/>
        <w:numPr>
          <w:ilvl w:val="0"/>
          <w:numId w:val="5"/>
        </w:numPr>
        <w:spacing w:after="0"/>
      </w:pPr>
      <w:r w:rsidRPr="003F41FF">
        <w:t>Baseline data on patient age and gender</w:t>
      </w:r>
    </w:p>
    <w:p w14:paraId="0EE26653" w14:textId="77777777" w:rsidR="00457F3C" w:rsidRPr="003F41FF" w:rsidRDefault="00457F3C" w:rsidP="00457F3C">
      <w:pPr>
        <w:pStyle w:val="Heading2"/>
        <w:keepLines/>
        <w:numPr>
          <w:ilvl w:val="1"/>
          <w:numId w:val="2"/>
        </w:numPr>
        <w:spacing w:before="200" w:after="0"/>
        <w:jc w:val="both"/>
        <w:rPr>
          <w:rFonts w:asciiTheme="minorHAnsi" w:hAnsiTheme="minorHAnsi"/>
          <w:b/>
          <w:color w:val="000000" w:themeColor="text1"/>
          <w:sz w:val="22"/>
          <w:szCs w:val="22"/>
        </w:rPr>
      </w:pPr>
      <w:bookmarkStart w:id="12" w:name="_Toc457660142"/>
      <w:bookmarkStart w:id="13" w:name="_Toc461542554"/>
      <w:r w:rsidRPr="003F41FF">
        <w:rPr>
          <w:rStyle w:val="Strong"/>
          <w:rFonts w:asciiTheme="minorHAnsi" w:hAnsiTheme="minorHAnsi"/>
          <w:b/>
          <w:color w:val="000000" w:themeColor="text1"/>
          <w:szCs w:val="22"/>
        </w:rPr>
        <w:t>Desirable criteria</w:t>
      </w:r>
      <w:bookmarkEnd w:id="12"/>
      <w:bookmarkEnd w:id="13"/>
      <w:r w:rsidRPr="003F41FF">
        <w:rPr>
          <w:rStyle w:val="Strong"/>
          <w:rFonts w:asciiTheme="minorHAnsi" w:hAnsiTheme="minorHAnsi"/>
          <w:b/>
          <w:color w:val="000000" w:themeColor="text1"/>
          <w:szCs w:val="22"/>
        </w:rPr>
        <w:t xml:space="preserve"> </w:t>
      </w:r>
    </w:p>
    <w:p w14:paraId="1E7C48DC" w14:textId="3DBCFBE9" w:rsidR="00457F3C" w:rsidRPr="003F41FF" w:rsidRDefault="00457F3C" w:rsidP="00457F3C">
      <w:pPr>
        <w:numPr>
          <w:ilvl w:val="0"/>
          <w:numId w:val="3"/>
        </w:numPr>
        <w:ind w:left="567"/>
        <w:contextualSpacing/>
        <w:rPr>
          <w:color w:val="000000" w:themeColor="text1"/>
          <w:lang w:val="en-AU"/>
        </w:rPr>
      </w:pPr>
      <w:r w:rsidRPr="003F41FF">
        <w:rPr>
          <w:rFonts w:cs="OpenSans"/>
          <w:color w:val="000000" w:themeColor="text1"/>
          <w:lang w:val="en-AU"/>
        </w:rPr>
        <w:t>Mg/Kg dosing</w:t>
      </w:r>
      <w:r w:rsidR="00262784">
        <w:rPr>
          <w:rFonts w:cs="OpenSans"/>
          <w:color w:val="000000" w:themeColor="text1"/>
          <w:lang w:val="en-AU"/>
        </w:rPr>
        <w:t xml:space="preserve"> (</w:t>
      </w:r>
      <w:r w:rsidR="00262784" w:rsidRPr="003F41FF">
        <w:t xml:space="preserve">exact </w:t>
      </w:r>
      <w:r w:rsidR="00262784">
        <w:t>number</w:t>
      </w:r>
      <w:r w:rsidR="00262784" w:rsidRPr="003F41FF">
        <w:t xml:space="preserve"> of schizontocidal </w:t>
      </w:r>
      <w:r w:rsidR="00262784">
        <w:t>tablets</w:t>
      </w:r>
      <w:r w:rsidR="00262784" w:rsidRPr="003F41FF">
        <w:t xml:space="preserve"> </w:t>
      </w:r>
      <w:r w:rsidR="00262784">
        <w:t xml:space="preserve">administered to the </w:t>
      </w:r>
      <w:r w:rsidR="00262784" w:rsidRPr="003F41FF">
        <w:t>patients</w:t>
      </w:r>
      <w:r w:rsidR="00262784">
        <w:t xml:space="preserve"> and </w:t>
      </w:r>
      <w:r w:rsidR="00262784" w:rsidRPr="003F41FF">
        <w:t xml:space="preserve">the </w:t>
      </w:r>
      <w:r w:rsidR="00262784">
        <w:t>timing and number</w:t>
      </w:r>
      <w:r w:rsidR="00262784" w:rsidRPr="003F41FF">
        <w:t xml:space="preserve"> of primaquine</w:t>
      </w:r>
      <w:r w:rsidR="00262784">
        <w:t xml:space="preserve"> tablets; according to individual patient data)</w:t>
      </w:r>
    </w:p>
    <w:p w14:paraId="2103D712" w14:textId="77777777" w:rsidR="00457F3C" w:rsidRPr="003F41FF" w:rsidRDefault="00457F3C" w:rsidP="00457F3C">
      <w:pPr>
        <w:numPr>
          <w:ilvl w:val="0"/>
          <w:numId w:val="3"/>
        </w:numPr>
        <w:ind w:left="567"/>
        <w:contextualSpacing/>
        <w:rPr>
          <w:color w:val="000000" w:themeColor="text1"/>
          <w:lang w:val="en-AU"/>
        </w:rPr>
      </w:pPr>
      <w:r w:rsidRPr="003F41FF">
        <w:rPr>
          <w:rFonts w:cs="OpenSans"/>
          <w:color w:val="000000" w:themeColor="text1"/>
          <w:lang w:val="en-AU"/>
        </w:rPr>
        <w:t>Weight of the patient</w:t>
      </w:r>
    </w:p>
    <w:p w14:paraId="677C1A9A" w14:textId="77777777" w:rsidR="00457F3C" w:rsidRPr="003F41FF" w:rsidRDefault="00457F3C" w:rsidP="00457F3C">
      <w:pPr>
        <w:numPr>
          <w:ilvl w:val="0"/>
          <w:numId w:val="3"/>
        </w:numPr>
        <w:ind w:left="567"/>
        <w:contextualSpacing/>
        <w:rPr>
          <w:color w:val="000000" w:themeColor="text1"/>
          <w:lang w:val="en-AU"/>
        </w:rPr>
      </w:pPr>
      <w:r w:rsidRPr="003F41FF">
        <w:rPr>
          <w:rFonts w:cs="OpenSans"/>
          <w:color w:val="000000" w:themeColor="text1"/>
          <w:lang w:val="en-AU"/>
        </w:rPr>
        <w:t>Information on splenomegaly, hepatomegaly</w:t>
      </w:r>
    </w:p>
    <w:p w14:paraId="1F156688" w14:textId="1E54619E" w:rsidR="00457F3C" w:rsidRPr="003F41FF" w:rsidRDefault="00457F3C" w:rsidP="00457F3C">
      <w:pPr>
        <w:numPr>
          <w:ilvl w:val="0"/>
          <w:numId w:val="3"/>
        </w:numPr>
        <w:ind w:left="567"/>
        <w:contextualSpacing/>
        <w:rPr>
          <w:color w:val="000000" w:themeColor="text1"/>
          <w:lang w:val="en-AU"/>
        </w:rPr>
      </w:pPr>
      <w:r w:rsidRPr="003F41FF">
        <w:rPr>
          <w:rFonts w:cs="OpenSans"/>
          <w:color w:val="000000" w:themeColor="text1"/>
          <w:lang w:val="en-AU"/>
        </w:rPr>
        <w:t xml:space="preserve">Malnutrition as gauged by weight and age </w:t>
      </w:r>
      <w:r w:rsidR="00114DB5">
        <w:rPr>
          <w:rFonts w:cs="OpenSans"/>
          <w:color w:val="000000" w:themeColor="text1"/>
          <w:lang w:val="en-AU"/>
        </w:rPr>
        <w:t>or</w:t>
      </w:r>
      <w:r w:rsidRPr="003F41FF">
        <w:rPr>
          <w:rFonts w:cs="OpenSans"/>
          <w:color w:val="000000" w:themeColor="text1"/>
          <w:lang w:val="en-AU"/>
        </w:rPr>
        <w:t xml:space="preserve"> height</w:t>
      </w:r>
      <w:r w:rsidR="00114DB5">
        <w:rPr>
          <w:rFonts w:cs="OpenSans"/>
          <w:color w:val="000000" w:themeColor="text1"/>
          <w:lang w:val="en-AU"/>
        </w:rPr>
        <w:t>,</w:t>
      </w:r>
      <w:r w:rsidRPr="003F41FF">
        <w:rPr>
          <w:rFonts w:cs="OpenSans"/>
          <w:color w:val="000000" w:themeColor="text1"/>
          <w:lang w:val="en-AU"/>
        </w:rPr>
        <w:t xml:space="preserve"> or MUAC</w:t>
      </w:r>
    </w:p>
    <w:p w14:paraId="130B280E" w14:textId="77777777" w:rsidR="00457F3C" w:rsidRPr="003F41FF" w:rsidRDefault="00457F3C" w:rsidP="00457F3C">
      <w:pPr>
        <w:numPr>
          <w:ilvl w:val="0"/>
          <w:numId w:val="3"/>
        </w:numPr>
        <w:ind w:left="567"/>
        <w:contextualSpacing/>
        <w:rPr>
          <w:color w:val="000000" w:themeColor="text1"/>
          <w:lang w:val="en-AU"/>
        </w:rPr>
      </w:pPr>
      <w:r w:rsidRPr="003F41FF">
        <w:rPr>
          <w:rFonts w:cs="OpenSans"/>
          <w:color w:val="000000" w:themeColor="text1"/>
          <w:lang w:val="en-AU"/>
        </w:rPr>
        <w:t xml:space="preserve">Qualitative or quantitative assessment of G6PD status </w:t>
      </w:r>
    </w:p>
    <w:p w14:paraId="2E0C60DA" w14:textId="77777777" w:rsidR="00457F3C" w:rsidRPr="003F41FF" w:rsidRDefault="00457F3C" w:rsidP="00457F3C">
      <w:pPr>
        <w:numPr>
          <w:ilvl w:val="0"/>
          <w:numId w:val="3"/>
        </w:numPr>
        <w:ind w:left="567"/>
        <w:contextualSpacing/>
        <w:rPr>
          <w:color w:val="000000" w:themeColor="text1"/>
          <w:lang w:val="en-AU"/>
        </w:rPr>
      </w:pPr>
      <w:r w:rsidRPr="003F41FF">
        <w:rPr>
          <w:rFonts w:cs="OpenSans"/>
          <w:color w:val="000000" w:themeColor="text1"/>
          <w:lang w:val="en-AU"/>
        </w:rPr>
        <w:t>Parasite density at day 1, 2, 3</w:t>
      </w:r>
    </w:p>
    <w:p w14:paraId="2BEC54C7" w14:textId="77777777" w:rsidR="00457F3C" w:rsidRPr="003F41FF" w:rsidRDefault="00457F3C" w:rsidP="00457F3C">
      <w:pPr>
        <w:numPr>
          <w:ilvl w:val="0"/>
          <w:numId w:val="3"/>
        </w:numPr>
        <w:ind w:left="567"/>
        <w:contextualSpacing/>
        <w:rPr>
          <w:color w:val="000000" w:themeColor="text1"/>
          <w:lang w:val="en-AU"/>
        </w:rPr>
      </w:pPr>
      <w:r w:rsidRPr="003F41FF">
        <w:rPr>
          <w:color w:val="000000" w:themeColor="text1"/>
          <w:lang w:val="en-AU"/>
        </w:rPr>
        <w:lastRenderedPageBreak/>
        <w:t>Haemoglobin (hb) or hematocrit (hct) at enrolment</w:t>
      </w:r>
    </w:p>
    <w:p w14:paraId="247D1802" w14:textId="77777777" w:rsidR="00457F3C" w:rsidRPr="003F41FF" w:rsidRDefault="00457F3C" w:rsidP="00457F3C">
      <w:pPr>
        <w:numPr>
          <w:ilvl w:val="0"/>
          <w:numId w:val="3"/>
        </w:numPr>
        <w:ind w:left="567"/>
        <w:contextualSpacing/>
        <w:rPr>
          <w:color w:val="000000" w:themeColor="text1"/>
          <w:lang w:val="en-AU"/>
        </w:rPr>
      </w:pPr>
      <w:r w:rsidRPr="003F41FF">
        <w:rPr>
          <w:color w:val="000000" w:themeColor="text1"/>
          <w:lang w:val="en-AU"/>
        </w:rPr>
        <w:t>Day 7 drug levels</w:t>
      </w:r>
    </w:p>
    <w:p w14:paraId="6E0EC3AA" w14:textId="77777777" w:rsidR="00457F3C" w:rsidRPr="003F41FF" w:rsidRDefault="00457F3C" w:rsidP="00457F3C">
      <w:pPr>
        <w:numPr>
          <w:ilvl w:val="0"/>
          <w:numId w:val="3"/>
        </w:numPr>
        <w:ind w:left="567"/>
        <w:contextualSpacing/>
        <w:rPr>
          <w:color w:val="000000" w:themeColor="text1"/>
          <w:lang w:val="en-AU"/>
        </w:rPr>
      </w:pPr>
      <w:r w:rsidRPr="003F41FF">
        <w:rPr>
          <w:color w:val="000000" w:themeColor="text1"/>
          <w:lang w:val="en-AU"/>
        </w:rPr>
        <w:t>Documentation on the supervision of drug administration</w:t>
      </w:r>
    </w:p>
    <w:p w14:paraId="477540C7" w14:textId="05988A8F" w:rsidR="00457F3C" w:rsidRPr="003F41FF" w:rsidRDefault="00457F3C" w:rsidP="00457F3C">
      <w:pPr>
        <w:numPr>
          <w:ilvl w:val="0"/>
          <w:numId w:val="3"/>
        </w:numPr>
        <w:ind w:left="567"/>
        <w:contextualSpacing/>
        <w:rPr>
          <w:color w:val="000000" w:themeColor="text1"/>
          <w:lang w:val="en-AU"/>
        </w:rPr>
      </w:pPr>
      <w:r w:rsidRPr="003F41FF">
        <w:rPr>
          <w:rFonts w:cs="OpenSans"/>
          <w:color w:val="000000" w:themeColor="text1"/>
          <w:lang w:val="en-AU"/>
        </w:rPr>
        <w:t xml:space="preserve">Outcome of malaria treatment according to standardised WHO criteria </w:t>
      </w:r>
      <w:r>
        <w:rPr>
          <w:color w:val="000000" w:themeColor="text1"/>
          <w:lang w:val="en-AU"/>
        </w:rPr>
        <w:fldChar w:fldCharType="begin"/>
      </w:r>
      <w:r w:rsidR="00A4255F">
        <w:rPr>
          <w:color w:val="000000" w:themeColor="text1"/>
          <w:lang w:val="en-AU"/>
        </w:rPr>
        <w:instrText xml:space="preserve"> ADDIN EN.CITE &lt;EndNote&gt;&lt;Cite&gt;&lt;Author&gt;World Health Organization&lt;/Author&gt;&lt;Year&gt;2009&lt;/Year&gt;&lt;RecNum&gt;65&lt;/RecNum&gt;&lt;DisplayText&gt;(2)&lt;/DisplayText&gt;&lt;record&gt;&lt;rec-number&gt;65&lt;/rec-number&gt;&lt;foreign-keys&gt;&lt;key app="EN" db-id="zrz59pvfoxvewle2ee8xrwt2292evzwdsrse" timestamp="0"&gt;65&lt;/key&gt;&lt;/foreign-keys&gt;&lt;ref-type name="Report"&gt;27&lt;/ref-type&gt;&lt;contributors&gt;&lt;authors&gt;&lt;author&gt;World Health Organization,&lt;/author&gt;&lt;/authors&gt;&lt;/contributors&gt;&lt;titles&gt;&lt;title&gt;Methods for surveillance of antimalarial drug efficacy&lt;/title&gt;&lt;/titles&gt;&lt;dates&gt;&lt;year&gt;2009&lt;/year&gt;&lt;/dates&gt;&lt;pub-location&gt;Geneva&lt;/pub-location&gt;&lt;publisher&gt;World Health Organization&lt;/publisher&gt;&lt;urls&gt;&lt;/urls&gt;&lt;/record&gt;&lt;/Cite&gt;&lt;/EndNote&gt;</w:instrText>
      </w:r>
      <w:r>
        <w:rPr>
          <w:color w:val="000000" w:themeColor="text1"/>
          <w:lang w:val="en-AU"/>
        </w:rPr>
        <w:fldChar w:fldCharType="separate"/>
      </w:r>
      <w:r w:rsidR="00A4255F">
        <w:rPr>
          <w:noProof/>
          <w:color w:val="000000" w:themeColor="text1"/>
          <w:lang w:val="en-AU"/>
        </w:rPr>
        <w:t>(2)</w:t>
      </w:r>
      <w:r>
        <w:rPr>
          <w:color w:val="000000" w:themeColor="text1"/>
          <w:lang w:val="en-AU"/>
        </w:rPr>
        <w:fldChar w:fldCharType="end"/>
      </w:r>
    </w:p>
    <w:p w14:paraId="7842DB0C" w14:textId="77777777" w:rsidR="00457F3C" w:rsidRPr="003F41FF" w:rsidRDefault="00457F3C" w:rsidP="00457F3C">
      <w:pPr>
        <w:rPr>
          <w:color w:val="000000" w:themeColor="text1"/>
          <w:lang w:val="en-AU"/>
        </w:rPr>
      </w:pPr>
    </w:p>
    <w:p w14:paraId="37DA4383" w14:textId="77777777" w:rsidR="00457F3C" w:rsidRPr="003F41FF" w:rsidRDefault="00457F3C" w:rsidP="00457F3C">
      <w:pPr>
        <w:pStyle w:val="ListParagraph"/>
        <w:numPr>
          <w:ilvl w:val="2"/>
          <w:numId w:val="6"/>
        </w:numPr>
        <w:spacing w:after="0"/>
        <w:rPr>
          <w:b/>
          <w:color w:val="000000" w:themeColor="text1"/>
        </w:rPr>
      </w:pPr>
      <w:r w:rsidRPr="003F41FF">
        <w:rPr>
          <w:b/>
          <w:color w:val="000000" w:themeColor="text1"/>
        </w:rPr>
        <w:t>Exclusion Criteria</w:t>
      </w:r>
    </w:p>
    <w:p w14:paraId="4B5CBEA6" w14:textId="77777777" w:rsidR="00457F3C" w:rsidRPr="003F41FF" w:rsidRDefault="00457F3C" w:rsidP="00457F3C">
      <w:pPr>
        <w:pStyle w:val="ListParagraph"/>
        <w:numPr>
          <w:ilvl w:val="0"/>
          <w:numId w:val="4"/>
        </w:numPr>
        <w:spacing w:after="0"/>
        <w:rPr>
          <w:color w:val="000000" w:themeColor="text1"/>
        </w:rPr>
      </w:pPr>
      <w:r w:rsidRPr="003F41FF">
        <w:rPr>
          <w:color w:val="000000" w:themeColor="text1"/>
        </w:rPr>
        <w:t>Pregnancy</w:t>
      </w:r>
    </w:p>
    <w:p w14:paraId="400AB9C6" w14:textId="77777777" w:rsidR="00457F3C" w:rsidRPr="003F41FF" w:rsidRDefault="00457F3C" w:rsidP="00457F3C">
      <w:pPr>
        <w:rPr>
          <w:color w:val="000000" w:themeColor="text1"/>
          <w:lang w:val="en-AU"/>
        </w:rPr>
      </w:pPr>
    </w:p>
    <w:p w14:paraId="7685C81A" w14:textId="77777777" w:rsidR="00457F3C" w:rsidRPr="003F41FF" w:rsidRDefault="00457F3C" w:rsidP="00457F3C">
      <w:pPr>
        <w:pStyle w:val="Heading2"/>
        <w:rPr>
          <w:rFonts w:asciiTheme="majorHAnsi" w:hAnsiTheme="majorHAnsi"/>
          <w:color w:val="0070C0"/>
          <w:sz w:val="26"/>
          <w:szCs w:val="26"/>
        </w:rPr>
      </w:pPr>
      <w:bookmarkStart w:id="14" w:name="_Toc457660143"/>
      <w:bookmarkStart w:id="15" w:name="_Toc461542555"/>
      <w:r w:rsidRPr="003F41FF">
        <w:rPr>
          <w:rFonts w:asciiTheme="majorHAnsi" w:hAnsiTheme="majorHAnsi"/>
          <w:color w:val="0070C0"/>
          <w:sz w:val="26"/>
          <w:szCs w:val="26"/>
        </w:rPr>
        <w:t>1.4. Data Pooling</w:t>
      </w:r>
      <w:bookmarkEnd w:id="14"/>
      <w:bookmarkEnd w:id="15"/>
    </w:p>
    <w:p w14:paraId="055A9239" w14:textId="7BE26092" w:rsidR="00457F3C" w:rsidRPr="003F41FF" w:rsidRDefault="00457F3C" w:rsidP="00457F3C">
      <w:pPr>
        <w:rPr>
          <w:rFonts w:cstheme="minorHAnsi"/>
          <w:color w:val="000000" w:themeColor="text1"/>
          <w:lang w:val="en-AU"/>
        </w:rPr>
      </w:pPr>
      <w:r w:rsidRPr="003F41FF">
        <w:rPr>
          <w:rFonts w:cstheme="minorHAnsi"/>
          <w:color w:val="000000" w:themeColor="text1"/>
          <w:lang w:val="en-AU"/>
        </w:rPr>
        <w:t xml:space="preserve">A systematic review of all prospective clinical efficacy trials involving </w:t>
      </w:r>
      <w:r w:rsidRPr="003F41FF">
        <w:rPr>
          <w:rFonts w:cstheme="minorHAnsi"/>
          <w:i/>
          <w:color w:val="000000" w:themeColor="text1"/>
          <w:lang w:val="en-AU"/>
        </w:rPr>
        <w:t xml:space="preserve">Plasmodium vivax </w:t>
      </w:r>
      <w:r w:rsidRPr="003F41FF">
        <w:rPr>
          <w:rFonts w:cstheme="minorHAnsi"/>
          <w:color w:val="000000" w:themeColor="text1"/>
          <w:lang w:val="en-AU"/>
        </w:rPr>
        <w:t xml:space="preserve">mono-infection will be </w:t>
      </w:r>
      <w:r w:rsidR="00FC6BF0">
        <w:rPr>
          <w:rFonts w:cstheme="minorHAnsi"/>
          <w:color w:val="000000" w:themeColor="text1"/>
          <w:lang w:val="en-AU"/>
        </w:rPr>
        <w:t>performed</w:t>
      </w:r>
      <w:r w:rsidRPr="003F41FF">
        <w:rPr>
          <w:rFonts w:cstheme="minorHAnsi"/>
          <w:color w:val="000000" w:themeColor="text1"/>
          <w:lang w:val="en-AU"/>
        </w:rPr>
        <w:t xml:space="preserve">. Trials undertaken since the year 2000 that fulfil the study criteria will be targeted through direct email to the corresponding author and/or principal investigator. Data from unpublished and ongoing clinical studies will also be included if available. Once data are uploaded into the WWARN repository, they will be curated and standardized using the WWARN Data Management and Statistical Analysis Plans </w:t>
      </w:r>
      <w:r>
        <w:rPr>
          <w:rFonts w:cstheme="minorHAnsi"/>
          <w:color w:val="000000" w:themeColor="text1"/>
          <w:lang w:val="en-AU"/>
        </w:rPr>
        <w:fldChar w:fldCharType="begin"/>
      </w:r>
      <w:r w:rsidR="00A4255F">
        <w:rPr>
          <w:rFonts w:cstheme="minorHAnsi"/>
          <w:color w:val="000000" w:themeColor="text1"/>
          <w:lang w:val="en-AU"/>
        </w:rPr>
        <w:instrText xml:space="preserve"> ADDIN EN.CITE &lt;EndNote&gt;&lt;Cite&gt;&lt;Author&gt;WorldWide Antimalarial Resistance Network&lt;/Author&gt;&lt;Year&gt;2012&lt;/Year&gt;&lt;RecNum&gt;56&lt;/RecNum&gt;&lt;DisplayText&gt;(1)&lt;/DisplayText&gt;&lt;record&gt;&lt;rec-number&gt;56&lt;/rec-number&gt;&lt;foreign-keys&gt;&lt;key app="EN" db-id="zrz59pvfoxvewle2ee8xrwt2292evzwdsrse" timestamp="0"&gt;56&lt;/key&gt;&lt;/foreign-keys&gt;&lt;ref-type name="Report"&gt;27&lt;/ref-type&gt;&lt;contributors&gt;&lt;authors&gt;&lt;author&gt;WorldWide Antimalarial Resistance Network,&lt;/author&gt;&lt;/authors&gt;&lt;tertiary-authors&gt;&lt;author&gt;WWARN&lt;/author&gt;&lt;/tertiary-authors&gt;&lt;/contributors&gt;&lt;titles&gt;&lt;title&gt;Data Management and Statistical Analysis Plan v1.2&lt;/title&gt;&lt;/titles&gt;&lt;dates&gt;&lt;year&gt;2012&lt;/year&gt;&lt;/dates&gt;&lt;pub-location&gt;Oxford&lt;/pub-location&gt;&lt;urls&gt;&lt;related-urls&gt;&lt;url&gt;http://www.wwarn.org/sites/default/files/ClinicalDMSAP.pdf&lt;/url&gt;&lt;/related-urls&gt;&lt;/urls&gt;&lt;access-date&gt;31 July 2016&lt;/access-date&gt;&lt;/record&gt;&lt;/Cite&gt;&lt;/EndNote&gt;</w:instrText>
      </w:r>
      <w:r>
        <w:rPr>
          <w:rFonts w:cstheme="minorHAnsi"/>
          <w:color w:val="000000" w:themeColor="text1"/>
          <w:lang w:val="en-AU"/>
        </w:rPr>
        <w:fldChar w:fldCharType="separate"/>
      </w:r>
      <w:r w:rsidR="00A4255F">
        <w:rPr>
          <w:rFonts w:cstheme="minorHAnsi"/>
          <w:noProof/>
          <w:color w:val="000000" w:themeColor="text1"/>
          <w:lang w:val="en-AU"/>
        </w:rPr>
        <w:t>(1)</w:t>
      </w:r>
      <w:r>
        <w:rPr>
          <w:rFonts w:cstheme="minorHAnsi"/>
          <w:color w:val="000000" w:themeColor="text1"/>
          <w:lang w:val="en-AU"/>
        </w:rPr>
        <w:fldChar w:fldCharType="end"/>
      </w:r>
      <w:r w:rsidRPr="003F41FF">
        <w:rPr>
          <w:rFonts w:cstheme="minorHAnsi"/>
          <w:color w:val="000000" w:themeColor="text1"/>
          <w:lang w:val="en-AU"/>
        </w:rPr>
        <w:t xml:space="preserve"> for clinical data and pooled into a single database of quality-assured individual patient data.</w:t>
      </w:r>
    </w:p>
    <w:p w14:paraId="7EA84316" w14:textId="77777777" w:rsidR="00457F3C" w:rsidRPr="003F41FF" w:rsidRDefault="00457F3C" w:rsidP="00457F3C">
      <w:pPr>
        <w:rPr>
          <w:color w:val="000000" w:themeColor="text1"/>
          <w:lang w:val="en-AU"/>
        </w:rPr>
      </w:pPr>
    </w:p>
    <w:p w14:paraId="18228D8B" w14:textId="77777777" w:rsidR="00457F3C" w:rsidRPr="003F41FF" w:rsidRDefault="00457F3C" w:rsidP="00457F3C">
      <w:pPr>
        <w:rPr>
          <w:color w:val="000000" w:themeColor="text1"/>
          <w:lang w:val="en-AU"/>
        </w:rPr>
      </w:pPr>
    </w:p>
    <w:p w14:paraId="009CCC5D" w14:textId="77777777" w:rsidR="00457F3C" w:rsidRPr="003F41FF" w:rsidRDefault="00457F3C" w:rsidP="00457F3C">
      <w:pPr>
        <w:pStyle w:val="Heading1"/>
      </w:pPr>
      <w:bookmarkStart w:id="16" w:name="_Toc457660144"/>
      <w:bookmarkStart w:id="17" w:name="_Toc461542556"/>
      <w:r w:rsidRPr="003F41FF">
        <w:t>2. Outline of Statistical Analysis</w:t>
      </w:r>
      <w:bookmarkEnd w:id="16"/>
      <w:bookmarkEnd w:id="17"/>
      <w:r w:rsidRPr="003F41FF">
        <w:t xml:space="preserve"> </w:t>
      </w:r>
    </w:p>
    <w:p w14:paraId="1A58CE79" w14:textId="77777777" w:rsidR="00457F3C" w:rsidRPr="003F41FF" w:rsidRDefault="00457F3C" w:rsidP="00457F3C">
      <w:pPr>
        <w:rPr>
          <w:lang w:val="en-AU"/>
        </w:rPr>
      </w:pPr>
    </w:p>
    <w:p w14:paraId="5BF5C4C2" w14:textId="77777777" w:rsidR="00457F3C" w:rsidRPr="003F41FF" w:rsidRDefault="00457F3C" w:rsidP="00457F3C">
      <w:pPr>
        <w:pStyle w:val="Heading2"/>
        <w:rPr>
          <w:rFonts w:asciiTheme="majorHAnsi" w:hAnsiTheme="majorHAnsi"/>
          <w:color w:val="2E74B5" w:themeColor="accent1" w:themeShade="BF"/>
          <w:sz w:val="26"/>
        </w:rPr>
      </w:pPr>
      <w:bookmarkStart w:id="18" w:name="_Toc457660145"/>
      <w:bookmarkStart w:id="19" w:name="_Toc461542557"/>
      <w:r w:rsidRPr="003F41FF">
        <w:rPr>
          <w:rStyle w:val="Strong"/>
          <w:rFonts w:asciiTheme="majorHAnsi" w:hAnsiTheme="majorHAnsi"/>
          <w:color w:val="2E74B5" w:themeColor="accent1" w:themeShade="BF"/>
          <w:sz w:val="26"/>
        </w:rPr>
        <w:t>2.1 Specific objectives of the study</w:t>
      </w:r>
      <w:bookmarkEnd w:id="18"/>
      <w:bookmarkEnd w:id="19"/>
    </w:p>
    <w:p w14:paraId="7E8A32C8" w14:textId="369FB567" w:rsidR="00457F3C" w:rsidRPr="003F41FF" w:rsidRDefault="00457F3C" w:rsidP="00457F3C">
      <w:pPr>
        <w:pStyle w:val="ListParagraph"/>
        <w:widowControl w:val="0"/>
        <w:numPr>
          <w:ilvl w:val="0"/>
          <w:numId w:val="9"/>
        </w:numPr>
        <w:tabs>
          <w:tab w:val="left" w:pos="284"/>
        </w:tabs>
        <w:autoSpaceDE w:val="0"/>
        <w:autoSpaceDN w:val="0"/>
        <w:adjustRightInd w:val="0"/>
        <w:spacing w:after="0"/>
        <w:rPr>
          <w:rFonts w:cs="OpenSans"/>
          <w:color w:val="3E414B"/>
        </w:rPr>
      </w:pPr>
      <w:r w:rsidRPr="003F41FF">
        <w:rPr>
          <w:rFonts w:cs="OpenSans"/>
          <w:color w:val="3E414B"/>
        </w:rPr>
        <w:t xml:space="preserve">To quantify the risk of early vivax recurrence before day 28 or day 42 </w:t>
      </w:r>
    </w:p>
    <w:p w14:paraId="16CB252F" w14:textId="429C4E64" w:rsidR="00457F3C" w:rsidRPr="003F41FF" w:rsidRDefault="00457F3C" w:rsidP="00457F3C">
      <w:pPr>
        <w:pStyle w:val="ListParagraph"/>
        <w:widowControl w:val="0"/>
        <w:numPr>
          <w:ilvl w:val="0"/>
          <w:numId w:val="9"/>
        </w:numPr>
        <w:tabs>
          <w:tab w:val="left" w:pos="284"/>
        </w:tabs>
        <w:autoSpaceDE w:val="0"/>
        <w:autoSpaceDN w:val="0"/>
        <w:adjustRightInd w:val="0"/>
        <w:spacing w:after="0"/>
        <w:rPr>
          <w:rFonts w:cs="OpenSans"/>
          <w:color w:val="3E414B"/>
        </w:rPr>
      </w:pPr>
      <w:r w:rsidRPr="003F41FF">
        <w:rPr>
          <w:rFonts w:cs="OpenSans"/>
          <w:color w:val="3E414B"/>
        </w:rPr>
        <w:t>To identify key host</w:t>
      </w:r>
      <w:r w:rsidRPr="009B12AA">
        <w:rPr>
          <w:rFonts w:cs="OpenSans"/>
          <w:color w:val="3E414B"/>
        </w:rPr>
        <w:t xml:space="preserve">, parasite </w:t>
      </w:r>
      <w:r w:rsidR="00A74D80" w:rsidRPr="009B12AA">
        <w:rPr>
          <w:rFonts w:cs="OpenSans"/>
          <w:color w:val="3E414B"/>
        </w:rPr>
        <w:t>(</w:t>
      </w:r>
      <w:r w:rsidR="005217B4" w:rsidRPr="009B12AA">
        <w:rPr>
          <w:rFonts w:cs="OpenSans"/>
          <w:color w:val="3E414B"/>
        </w:rPr>
        <w:t>including</w:t>
      </w:r>
      <w:r w:rsidR="00A74D80" w:rsidRPr="009B12AA">
        <w:rPr>
          <w:rFonts w:cs="OpenSans"/>
          <w:color w:val="3E414B"/>
        </w:rPr>
        <w:t xml:space="preserve"> parasitaemia, relapse periodicity and location) </w:t>
      </w:r>
      <w:r w:rsidRPr="009B12AA">
        <w:rPr>
          <w:rFonts w:cs="OpenSans"/>
          <w:color w:val="3E414B"/>
        </w:rPr>
        <w:t>and</w:t>
      </w:r>
      <w:r w:rsidRPr="003F41FF">
        <w:rPr>
          <w:rFonts w:cs="OpenSans"/>
          <w:color w:val="3E414B"/>
        </w:rPr>
        <w:t xml:space="preserve"> pharmacological determinants of early </w:t>
      </w:r>
      <w:r w:rsidR="00FC6BF0">
        <w:rPr>
          <w:rFonts w:cs="OpenSans"/>
          <w:color w:val="3E414B"/>
        </w:rPr>
        <w:t xml:space="preserve">vivax </w:t>
      </w:r>
      <w:r w:rsidRPr="003F41FF">
        <w:rPr>
          <w:rFonts w:cs="OpenSans"/>
          <w:color w:val="3E414B"/>
        </w:rPr>
        <w:t>recurrence including:</w:t>
      </w:r>
    </w:p>
    <w:p w14:paraId="0A5E3FBD" w14:textId="77777777" w:rsidR="00457F3C" w:rsidRPr="003F41FF" w:rsidRDefault="00457F3C" w:rsidP="00457F3C">
      <w:pPr>
        <w:widowControl w:val="0"/>
        <w:numPr>
          <w:ilvl w:val="3"/>
          <w:numId w:val="1"/>
        </w:numPr>
        <w:autoSpaceDE w:val="0"/>
        <w:autoSpaceDN w:val="0"/>
        <w:adjustRightInd w:val="0"/>
        <w:spacing w:after="0"/>
        <w:ind w:left="1134" w:hanging="425"/>
        <w:rPr>
          <w:rFonts w:cs="OpenSans"/>
          <w:color w:val="3E414B"/>
          <w:lang w:val="en-AU"/>
        </w:rPr>
      </w:pPr>
      <w:r w:rsidRPr="003F41FF">
        <w:rPr>
          <w:rFonts w:cs="OpenSans"/>
          <w:color w:val="3E414B"/>
          <w:lang w:val="en-AU"/>
        </w:rPr>
        <w:t xml:space="preserve"> - The effect of schizontocidal treatments including mg/kg dose </w:t>
      </w:r>
    </w:p>
    <w:p w14:paraId="5CBFE9F5" w14:textId="77777777" w:rsidR="00457F3C" w:rsidRPr="003F41FF" w:rsidRDefault="00457F3C" w:rsidP="00457F3C">
      <w:pPr>
        <w:widowControl w:val="0"/>
        <w:numPr>
          <w:ilvl w:val="3"/>
          <w:numId w:val="1"/>
        </w:numPr>
        <w:autoSpaceDE w:val="0"/>
        <w:autoSpaceDN w:val="0"/>
        <w:adjustRightInd w:val="0"/>
        <w:spacing w:after="0"/>
        <w:ind w:left="1134" w:hanging="425"/>
        <w:rPr>
          <w:rFonts w:cs="OpenSans"/>
          <w:color w:val="3E414B"/>
          <w:lang w:val="en-AU"/>
        </w:rPr>
      </w:pPr>
      <w:r w:rsidRPr="003F41FF">
        <w:rPr>
          <w:rFonts w:cs="OpenSans"/>
          <w:color w:val="3E414B"/>
          <w:lang w:val="en-AU"/>
        </w:rPr>
        <w:t xml:space="preserve"> - The effect of different primaquine treatments including mg/kg dose</w:t>
      </w:r>
    </w:p>
    <w:p w14:paraId="497F53F7" w14:textId="77777777" w:rsidR="00457F3C" w:rsidRPr="003F41FF" w:rsidRDefault="00457F3C" w:rsidP="00457F3C">
      <w:pPr>
        <w:pStyle w:val="ListParagraph"/>
        <w:widowControl w:val="0"/>
        <w:numPr>
          <w:ilvl w:val="0"/>
          <w:numId w:val="9"/>
        </w:numPr>
        <w:autoSpaceDE w:val="0"/>
        <w:autoSpaceDN w:val="0"/>
        <w:adjustRightInd w:val="0"/>
        <w:spacing w:after="0"/>
        <w:rPr>
          <w:rFonts w:cs="OpenSans"/>
          <w:color w:val="3E414B"/>
        </w:rPr>
      </w:pPr>
      <w:r w:rsidRPr="003F41FF">
        <w:rPr>
          <w:rFonts w:cs="OpenSans"/>
          <w:color w:val="3E414B"/>
        </w:rPr>
        <w:t>Determine the relationship between parasite clearance and early vivax recurrence</w:t>
      </w:r>
    </w:p>
    <w:p w14:paraId="34C4FD27" w14:textId="77777777" w:rsidR="00457F3C" w:rsidRPr="003F41FF" w:rsidRDefault="00457F3C" w:rsidP="00457F3C">
      <w:pPr>
        <w:rPr>
          <w:b/>
          <w:bCs/>
          <w:lang w:val="en-AU"/>
        </w:rPr>
      </w:pPr>
    </w:p>
    <w:p w14:paraId="04309385" w14:textId="77777777" w:rsidR="00457F3C" w:rsidRPr="003F41FF" w:rsidRDefault="00457F3C" w:rsidP="00457F3C">
      <w:pPr>
        <w:pStyle w:val="Heading2"/>
        <w:rPr>
          <w:rStyle w:val="Strong"/>
          <w:rFonts w:asciiTheme="majorHAnsi" w:hAnsiTheme="majorHAnsi"/>
          <w:color w:val="2E74B5" w:themeColor="accent1" w:themeShade="BF"/>
          <w:sz w:val="26"/>
        </w:rPr>
      </w:pPr>
      <w:bookmarkStart w:id="20" w:name="_Toc457660146"/>
      <w:bookmarkStart w:id="21" w:name="_Toc461542558"/>
      <w:r w:rsidRPr="003F41FF">
        <w:rPr>
          <w:rStyle w:val="Strong"/>
          <w:rFonts w:asciiTheme="majorHAnsi" w:hAnsiTheme="majorHAnsi"/>
          <w:color w:val="2E74B5" w:themeColor="accent1" w:themeShade="BF"/>
          <w:sz w:val="26"/>
        </w:rPr>
        <w:t>2.2 Study endpoints</w:t>
      </w:r>
      <w:bookmarkEnd w:id="20"/>
      <w:bookmarkEnd w:id="21"/>
    </w:p>
    <w:p w14:paraId="5697FA54" w14:textId="77777777" w:rsidR="00457F3C" w:rsidRPr="003F41FF" w:rsidRDefault="00457F3C" w:rsidP="00457F3C">
      <w:pPr>
        <w:pStyle w:val="Default"/>
        <w:spacing w:line="276" w:lineRule="auto"/>
        <w:rPr>
          <w:rFonts w:asciiTheme="minorHAnsi" w:hAnsiTheme="minorHAnsi"/>
          <w:color w:val="000000" w:themeColor="text1"/>
          <w:sz w:val="22"/>
          <w:szCs w:val="22"/>
          <w:lang w:val="en-AU"/>
        </w:rPr>
      </w:pPr>
      <w:r w:rsidRPr="003F41FF">
        <w:rPr>
          <w:rFonts w:asciiTheme="minorHAnsi" w:hAnsiTheme="minorHAnsi"/>
          <w:b/>
          <w:bCs/>
          <w:color w:val="000000" w:themeColor="text1"/>
          <w:sz w:val="22"/>
          <w:szCs w:val="22"/>
          <w:lang w:val="en-AU"/>
        </w:rPr>
        <w:t>Primary</w:t>
      </w:r>
      <w:r w:rsidRPr="003F41FF">
        <w:rPr>
          <w:rFonts w:asciiTheme="minorHAnsi" w:hAnsiTheme="minorHAnsi"/>
          <w:color w:val="000000" w:themeColor="text1"/>
          <w:sz w:val="22"/>
          <w:szCs w:val="22"/>
          <w:lang w:val="en-AU"/>
        </w:rPr>
        <w:t xml:space="preserve">: </w:t>
      </w:r>
    </w:p>
    <w:p w14:paraId="1F6B5E61" w14:textId="61F011FA" w:rsidR="00457F3C" w:rsidRPr="003F41FF" w:rsidRDefault="00457F3C" w:rsidP="00457F3C">
      <w:pPr>
        <w:pStyle w:val="Default"/>
        <w:spacing w:line="276" w:lineRule="auto"/>
        <w:rPr>
          <w:rFonts w:asciiTheme="minorHAnsi" w:hAnsiTheme="minorHAnsi"/>
          <w:b/>
          <w:bCs/>
          <w:color w:val="000000" w:themeColor="text1"/>
          <w:sz w:val="22"/>
          <w:szCs w:val="22"/>
          <w:lang w:val="en-AU"/>
        </w:rPr>
      </w:pPr>
      <w:r w:rsidRPr="003F41FF">
        <w:rPr>
          <w:rFonts w:asciiTheme="minorHAnsi" w:hAnsiTheme="minorHAnsi"/>
          <w:i/>
          <w:iCs/>
          <w:color w:val="000000" w:themeColor="text1"/>
          <w:sz w:val="22"/>
          <w:szCs w:val="22"/>
          <w:lang w:val="en-AU"/>
        </w:rPr>
        <w:t xml:space="preserve">P. vivax </w:t>
      </w:r>
      <w:r w:rsidRPr="003F41FF">
        <w:rPr>
          <w:rFonts w:asciiTheme="minorHAnsi" w:hAnsiTheme="minorHAnsi"/>
          <w:color w:val="000000" w:themeColor="text1"/>
          <w:sz w:val="22"/>
          <w:szCs w:val="22"/>
          <w:lang w:val="en-AU"/>
        </w:rPr>
        <w:t xml:space="preserve">recurrence </w:t>
      </w:r>
      <w:r w:rsidR="006C750B">
        <w:rPr>
          <w:rFonts w:asciiTheme="minorHAnsi" w:hAnsiTheme="minorHAnsi"/>
          <w:color w:val="000000" w:themeColor="text1"/>
          <w:sz w:val="22"/>
          <w:szCs w:val="22"/>
          <w:lang w:val="en-AU"/>
        </w:rPr>
        <w:t>between day 7</w:t>
      </w:r>
      <w:r w:rsidR="00F85C49">
        <w:rPr>
          <w:rFonts w:asciiTheme="minorHAnsi" w:hAnsiTheme="minorHAnsi"/>
          <w:color w:val="000000" w:themeColor="text1"/>
          <w:sz w:val="22"/>
          <w:szCs w:val="22"/>
          <w:lang w:val="en-AU"/>
        </w:rPr>
        <w:t xml:space="preserve"> and</w:t>
      </w:r>
      <w:r w:rsidRPr="003F41FF">
        <w:rPr>
          <w:rFonts w:asciiTheme="minorHAnsi" w:hAnsiTheme="minorHAnsi"/>
          <w:color w:val="000000" w:themeColor="text1"/>
          <w:sz w:val="22"/>
          <w:szCs w:val="22"/>
          <w:lang w:val="en-AU"/>
        </w:rPr>
        <w:t xml:space="preserve"> day 28 or day 42 (PCR unadjusted)</w:t>
      </w:r>
    </w:p>
    <w:p w14:paraId="75107E5C" w14:textId="77777777" w:rsidR="00457F3C" w:rsidRPr="003F41FF" w:rsidRDefault="00457F3C" w:rsidP="00457F3C">
      <w:pPr>
        <w:pStyle w:val="Default"/>
        <w:spacing w:line="276" w:lineRule="auto"/>
        <w:rPr>
          <w:rFonts w:asciiTheme="minorHAnsi" w:hAnsiTheme="minorHAnsi"/>
          <w:b/>
          <w:bCs/>
          <w:color w:val="000000" w:themeColor="text1"/>
          <w:sz w:val="22"/>
          <w:szCs w:val="22"/>
          <w:lang w:val="en-AU"/>
        </w:rPr>
      </w:pPr>
    </w:p>
    <w:p w14:paraId="14CC886F" w14:textId="77777777" w:rsidR="00457F3C" w:rsidRPr="003F41FF" w:rsidRDefault="00457F3C" w:rsidP="00457F3C">
      <w:pPr>
        <w:pStyle w:val="Default"/>
        <w:spacing w:line="276" w:lineRule="auto"/>
        <w:rPr>
          <w:rFonts w:asciiTheme="minorHAnsi" w:hAnsiTheme="minorHAnsi"/>
          <w:color w:val="000000" w:themeColor="text1"/>
          <w:sz w:val="22"/>
          <w:szCs w:val="22"/>
          <w:lang w:val="en-AU"/>
        </w:rPr>
      </w:pPr>
      <w:r w:rsidRPr="003F41FF">
        <w:rPr>
          <w:rFonts w:asciiTheme="minorHAnsi" w:hAnsiTheme="minorHAnsi"/>
          <w:b/>
          <w:bCs/>
          <w:color w:val="000000" w:themeColor="text1"/>
          <w:sz w:val="22"/>
          <w:szCs w:val="22"/>
          <w:lang w:val="en-AU"/>
        </w:rPr>
        <w:t>Secondary</w:t>
      </w:r>
      <w:r w:rsidRPr="003F41FF">
        <w:rPr>
          <w:rFonts w:asciiTheme="minorHAnsi" w:hAnsiTheme="minorHAnsi"/>
          <w:color w:val="000000" w:themeColor="text1"/>
          <w:sz w:val="22"/>
          <w:szCs w:val="22"/>
          <w:lang w:val="en-AU"/>
        </w:rPr>
        <w:t xml:space="preserve">: </w:t>
      </w:r>
    </w:p>
    <w:p w14:paraId="15450CCF" w14:textId="6184B978" w:rsidR="002311A1" w:rsidRPr="003F41FF" w:rsidRDefault="002311A1" w:rsidP="002311A1">
      <w:pPr>
        <w:pStyle w:val="Default"/>
        <w:spacing w:line="276" w:lineRule="auto"/>
        <w:rPr>
          <w:rFonts w:asciiTheme="minorHAnsi" w:hAnsiTheme="minorHAnsi"/>
          <w:color w:val="000000" w:themeColor="text1"/>
          <w:sz w:val="22"/>
          <w:szCs w:val="22"/>
          <w:lang w:val="en-AU"/>
        </w:rPr>
      </w:pPr>
      <w:r>
        <w:rPr>
          <w:rFonts w:asciiTheme="minorHAnsi" w:hAnsiTheme="minorHAnsi"/>
          <w:color w:val="000000" w:themeColor="text1"/>
          <w:sz w:val="22"/>
          <w:szCs w:val="22"/>
          <w:lang w:val="en-AU"/>
        </w:rPr>
        <w:t>Early treatment failure</w:t>
      </w:r>
    </w:p>
    <w:p w14:paraId="059ACB4A" w14:textId="2E637E69" w:rsidR="00457F3C" w:rsidRDefault="00457F3C" w:rsidP="002311A1">
      <w:pPr>
        <w:pStyle w:val="Default"/>
        <w:spacing w:line="276" w:lineRule="auto"/>
        <w:rPr>
          <w:rFonts w:asciiTheme="minorHAnsi" w:hAnsiTheme="minorHAnsi"/>
          <w:color w:val="000000" w:themeColor="text1"/>
          <w:sz w:val="22"/>
          <w:szCs w:val="22"/>
          <w:lang w:val="en-AU"/>
        </w:rPr>
      </w:pPr>
      <w:r w:rsidRPr="003F41FF">
        <w:rPr>
          <w:rFonts w:asciiTheme="minorHAnsi" w:hAnsiTheme="minorHAnsi"/>
          <w:color w:val="000000" w:themeColor="text1"/>
          <w:sz w:val="22"/>
          <w:szCs w:val="22"/>
          <w:lang w:val="en-AU"/>
        </w:rPr>
        <w:t xml:space="preserve">Parasite clearance </w:t>
      </w:r>
      <w:r w:rsidR="008A60FD">
        <w:rPr>
          <w:rFonts w:asciiTheme="minorHAnsi" w:hAnsiTheme="minorHAnsi"/>
          <w:color w:val="000000" w:themeColor="text1"/>
          <w:sz w:val="22"/>
          <w:szCs w:val="22"/>
          <w:lang w:val="en-AU"/>
        </w:rPr>
        <w:t>half-</w:t>
      </w:r>
      <w:r w:rsidR="008E352A">
        <w:rPr>
          <w:rFonts w:asciiTheme="minorHAnsi" w:hAnsiTheme="minorHAnsi"/>
          <w:color w:val="000000" w:themeColor="text1"/>
          <w:sz w:val="22"/>
          <w:szCs w:val="22"/>
          <w:lang w:val="en-AU"/>
        </w:rPr>
        <w:t xml:space="preserve">life and </w:t>
      </w:r>
      <w:r w:rsidR="006C750B">
        <w:rPr>
          <w:rFonts w:asciiTheme="minorHAnsi" w:hAnsiTheme="minorHAnsi"/>
          <w:color w:val="000000" w:themeColor="text1"/>
          <w:sz w:val="22"/>
          <w:szCs w:val="22"/>
          <w:lang w:val="en-AU"/>
        </w:rPr>
        <w:t xml:space="preserve">positivity on day 1, </w:t>
      </w:r>
      <w:r w:rsidR="008E352A">
        <w:rPr>
          <w:rFonts w:asciiTheme="minorHAnsi" w:hAnsiTheme="minorHAnsi"/>
          <w:color w:val="000000" w:themeColor="text1"/>
          <w:sz w:val="22"/>
          <w:szCs w:val="22"/>
          <w:lang w:val="en-AU"/>
        </w:rPr>
        <w:t>2</w:t>
      </w:r>
      <w:r w:rsidR="006C750B">
        <w:rPr>
          <w:rFonts w:asciiTheme="minorHAnsi" w:hAnsiTheme="minorHAnsi"/>
          <w:color w:val="000000" w:themeColor="text1"/>
          <w:sz w:val="22"/>
          <w:szCs w:val="22"/>
          <w:lang w:val="en-AU"/>
        </w:rPr>
        <w:t xml:space="preserve"> and 3</w:t>
      </w:r>
    </w:p>
    <w:p w14:paraId="773E2C7A" w14:textId="416A1C63" w:rsidR="00457F3C" w:rsidRPr="00A4255F" w:rsidRDefault="00457F3C" w:rsidP="002311A1">
      <w:pPr>
        <w:pStyle w:val="Default"/>
        <w:spacing w:line="276" w:lineRule="auto"/>
        <w:rPr>
          <w:rFonts w:asciiTheme="minorHAnsi" w:hAnsiTheme="minorHAnsi"/>
          <w:color w:val="000000" w:themeColor="text1"/>
          <w:sz w:val="22"/>
          <w:szCs w:val="22"/>
          <w:lang w:val="en-AU"/>
        </w:rPr>
      </w:pPr>
      <w:r w:rsidRPr="00A4255F">
        <w:rPr>
          <w:rFonts w:asciiTheme="minorHAnsi" w:hAnsiTheme="minorHAnsi"/>
          <w:color w:val="000000" w:themeColor="text1"/>
          <w:sz w:val="22"/>
          <w:szCs w:val="22"/>
          <w:lang w:val="en-AU"/>
        </w:rPr>
        <w:t xml:space="preserve">Gametocyte carriage </w:t>
      </w:r>
      <w:r w:rsidR="002311A1" w:rsidRPr="00A4255F">
        <w:rPr>
          <w:rFonts w:asciiTheme="minorHAnsi" w:hAnsiTheme="minorHAnsi"/>
          <w:color w:val="000000" w:themeColor="text1"/>
          <w:sz w:val="22"/>
          <w:szCs w:val="22"/>
          <w:lang w:val="en-AU"/>
        </w:rPr>
        <w:t xml:space="preserve">at follow up </w:t>
      </w:r>
      <w:r w:rsidR="00C72302">
        <w:rPr>
          <w:rFonts w:asciiTheme="minorHAnsi" w:hAnsiTheme="minorHAnsi"/>
          <w:color w:val="000000" w:themeColor="text1"/>
          <w:sz w:val="22"/>
          <w:szCs w:val="22"/>
          <w:lang w:val="en-AU"/>
        </w:rPr>
        <w:t xml:space="preserve">days 3, 7, 14, </w:t>
      </w:r>
      <w:r w:rsidRPr="00A4255F">
        <w:rPr>
          <w:rFonts w:asciiTheme="minorHAnsi" w:hAnsiTheme="minorHAnsi"/>
          <w:color w:val="000000" w:themeColor="text1"/>
          <w:sz w:val="22"/>
          <w:szCs w:val="22"/>
          <w:lang w:val="en-AU"/>
        </w:rPr>
        <w:t>21</w:t>
      </w:r>
      <w:r w:rsidR="00C72302">
        <w:rPr>
          <w:rFonts w:asciiTheme="minorHAnsi" w:hAnsiTheme="minorHAnsi"/>
          <w:color w:val="000000" w:themeColor="text1"/>
          <w:sz w:val="22"/>
          <w:szCs w:val="22"/>
          <w:lang w:val="en-AU"/>
        </w:rPr>
        <w:t xml:space="preserve"> and day of recurrence</w:t>
      </w:r>
    </w:p>
    <w:p w14:paraId="273D42F3" w14:textId="77777777" w:rsidR="00457F3C" w:rsidRPr="003F41FF" w:rsidRDefault="00457F3C" w:rsidP="00457F3C">
      <w:pPr>
        <w:rPr>
          <w:rStyle w:val="Strong"/>
          <w:color w:val="000000" w:themeColor="text1"/>
          <w:lang w:val="en-AU"/>
        </w:rPr>
      </w:pPr>
    </w:p>
    <w:p w14:paraId="743E3D37" w14:textId="77777777" w:rsidR="00457F3C" w:rsidRPr="003F41FF" w:rsidRDefault="00457F3C" w:rsidP="00457F3C">
      <w:pPr>
        <w:pStyle w:val="Heading2"/>
        <w:rPr>
          <w:rFonts w:asciiTheme="majorHAnsi" w:hAnsiTheme="majorHAnsi"/>
          <w:color w:val="0070C0"/>
          <w:sz w:val="26"/>
          <w:szCs w:val="26"/>
        </w:rPr>
      </w:pPr>
      <w:bookmarkStart w:id="22" w:name="_Toc457660147"/>
      <w:bookmarkStart w:id="23" w:name="_Toc461542559"/>
      <w:r w:rsidRPr="003F41FF">
        <w:rPr>
          <w:rFonts w:asciiTheme="majorHAnsi" w:hAnsiTheme="majorHAnsi"/>
          <w:color w:val="0070C0"/>
          <w:sz w:val="26"/>
          <w:szCs w:val="26"/>
        </w:rPr>
        <w:lastRenderedPageBreak/>
        <w:t>2.3 Definitions of Endpoints</w:t>
      </w:r>
      <w:bookmarkEnd w:id="22"/>
      <w:bookmarkEnd w:id="23"/>
      <w:r w:rsidRPr="003F41FF">
        <w:rPr>
          <w:rFonts w:asciiTheme="majorHAnsi" w:hAnsiTheme="majorHAnsi"/>
          <w:color w:val="0070C0"/>
          <w:sz w:val="26"/>
          <w:szCs w:val="26"/>
        </w:rPr>
        <w:t xml:space="preserve"> </w:t>
      </w:r>
    </w:p>
    <w:p w14:paraId="31EBE26A" w14:textId="4159CC15" w:rsidR="00FC6BF0" w:rsidRDefault="00FC6BF0" w:rsidP="00FC6BF0">
      <w:pPr>
        <w:rPr>
          <w:rFonts w:asciiTheme="minorHAnsi" w:hAnsiTheme="minorHAnsi"/>
          <w:i/>
          <w:iCs/>
          <w:color w:val="000000" w:themeColor="text1"/>
          <w:lang w:val="en-AU"/>
        </w:rPr>
      </w:pPr>
      <w:r>
        <w:rPr>
          <w:rFonts w:asciiTheme="minorHAnsi" w:hAnsiTheme="minorHAnsi"/>
          <w:i/>
          <w:iCs/>
          <w:color w:val="000000" w:themeColor="text1"/>
          <w:lang w:val="en-AU"/>
        </w:rPr>
        <w:t>Primary</w:t>
      </w:r>
    </w:p>
    <w:p w14:paraId="36E6988A" w14:textId="11A36914" w:rsidR="00FC6BF0" w:rsidRDefault="00FC6BF0" w:rsidP="00FC6BF0">
      <w:pPr>
        <w:rPr>
          <w:color w:val="000000" w:themeColor="text1"/>
          <w:lang w:val="en-AU"/>
        </w:rPr>
      </w:pPr>
      <w:r w:rsidRPr="0006287D">
        <w:rPr>
          <w:rFonts w:asciiTheme="minorHAnsi" w:hAnsiTheme="minorHAnsi"/>
          <w:i/>
          <w:iCs/>
          <w:color w:val="000000" w:themeColor="text1"/>
          <w:lang w:val="en-AU"/>
        </w:rPr>
        <w:t xml:space="preserve">P. vivax </w:t>
      </w:r>
      <w:r w:rsidRPr="0006287D">
        <w:rPr>
          <w:rFonts w:asciiTheme="minorHAnsi" w:hAnsiTheme="minorHAnsi"/>
          <w:i/>
          <w:color w:val="000000" w:themeColor="text1"/>
          <w:lang w:val="en-AU"/>
        </w:rPr>
        <w:t xml:space="preserve">recurrence </w:t>
      </w:r>
      <w:r w:rsidRPr="0006287D">
        <w:rPr>
          <w:i/>
          <w:iCs/>
          <w:color w:val="000000" w:themeColor="text1"/>
          <w:lang w:val="en-AU"/>
        </w:rPr>
        <w:t xml:space="preserve">before day 28 </w:t>
      </w:r>
      <w:r w:rsidRPr="0006287D">
        <w:rPr>
          <w:iCs/>
          <w:color w:val="000000" w:themeColor="text1"/>
          <w:lang w:val="en-AU"/>
        </w:rPr>
        <w:t>is defined as any recurrence</w:t>
      </w:r>
      <w:r>
        <w:rPr>
          <w:i/>
          <w:iCs/>
          <w:color w:val="000000" w:themeColor="text1"/>
          <w:lang w:val="en-AU"/>
        </w:rPr>
        <w:t xml:space="preserve"> </w:t>
      </w:r>
      <w:r w:rsidRPr="003F41FF">
        <w:rPr>
          <w:color w:val="000000" w:themeColor="text1"/>
          <w:lang w:val="en-AU"/>
        </w:rPr>
        <w:t xml:space="preserve">of </w:t>
      </w:r>
      <w:r w:rsidRPr="003F41FF">
        <w:rPr>
          <w:i/>
          <w:color w:val="000000" w:themeColor="text1"/>
          <w:lang w:val="en-AU"/>
        </w:rPr>
        <w:t>P. vivax</w:t>
      </w:r>
      <w:r w:rsidR="006C750B">
        <w:rPr>
          <w:color w:val="000000" w:themeColor="text1"/>
          <w:lang w:val="en-AU"/>
        </w:rPr>
        <w:t xml:space="preserve"> parasitaemia between day 7</w:t>
      </w:r>
      <w:r w:rsidRPr="003F41FF">
        <w:rPr>
          <w:color w:val="000000" w:themeColor="text1"/>
          <w:lang w:val="en-AU"/>
        </w:rPr>
        <w:t xml:space="preserve"> and 28 </w:t>
      </w:r>
    </w:p>
    <w:p w14:paraId="4776C18C" w14:textId="1C939DBC" w:rsidR="00FC6BF0" w:rsidRPr="003F41FF" w:rsidRDefault="00FC6BF0" w:rsidP="00FC6BF0">
      <w:pPr>
        <w:rPr>
          <w:color w:val="000000" w:themeColor="text1"/>
          <w:lang w:val="en-AU"/>
        </w:rPr>
      </w:pPr>
      <w:r w:rsidRPr="0006287D">
        <w:rPr>
          <w:rFonts w:asciiTheme="minorHAnsi" w:hAnsiTheme="minorHAnsi"/>
          <w:i/>
          <w:iCs/>
          <w:color w:val="000000" w:themeColor="text1"/>
          <w:lang w:val="en-AU"/>
        </w:rPr>
        <w:t xml:space="preserve">P. vivax </w:t>
      </w:r>
      <w:r w:rsidRPr="0006287D">
        <w:rPr>
          <w:rFonts w:asciiTheme="minorHAnsi" w:hAnsiTheme="minorHAnsi"/>
          <w:i/>
          <w:color w:val="000000" w:themeColor="text1"/>
          <w:lang w:val="en-AU"/>
        </w:rPr>
        <w:t xml:space="preserve">recurrence </w:t>
      </w:r>
      <w:r w:rsidRPr="0006287D">
        <w:rPr>
          <w:i/>
          <w:iCs/>
          <w:color w:val="000000" w:themeColor="text1"/>
          <w:lang w:val="en-AU"/>
        </w:rPr>
        <w:t xml:space="preserve">before day </w:t>
      </w:r>
      <w:r>
        <w:rPr>
          <w:i/>
          <w:iCs/>
          <w:color w:val="000000" w:themeColor="text1"/>
          <w:lang w:val="en-AU"/>
        </w:rPr>
        <w:t>42</w:t>
      </w:r>
      <w:r w:rsidRPr="0006287D">
        <w:rPr>
          <w:i/>
          <w:iCs/>
          <w:color w:val="000000" w:themeColor="text1"/>
          <w:lang w:val="en-AU"/>
        </w:rPr>
        <w:t xml:space="preserve"> </w:t>
      </w:r>
      <w:r w:rsidRPr="0006287D">
        <w:rPr>
          <w:iCs/>
          <w:color w:val="000000" w:themeColor="text1"/>
          <w:lang w:val="en-AU"/>
        </w:rPr>
        <w:t>is defined as any recurrence</w:t>
      </w:r>
      <w:r>
        <w:rPr>
          <w:i/>
          <w:iCs/>
          <w:color w:val="000000" w:themeColor="text1"/>
          <w:lang w:val="en-AU"/>
        </w:rPr>
        <w:t xml:space="preserve"> </w:t>
      </w:r>
      <w:r w:rsidRPr="003F41FF">
        <w:rPr>
          <w:color w:val="000000" w:themeColor="text1"/>
          <w:lang w:val="en-AU"/>
        </w:rPr>
        <w:t xml:space="preserve">of </w:t>
      </w:r>
      <w:r w:rsidRPr="0006287D">
        <w:rPr>
          <w:i/>
          <w:color w:val="000000" w:themeColor="text1"/>
          <w:lang w:val="en-AU"/>
        </w:rPr>
        <w:t>P. vivax</w:t>
      </w:r>
      <w:r w:rsidR="006C750B">
        <w:rPr>
          <w:color w:val="000000" w:themeColor="text1"/>
          <w:lang w:val="en-AU"/>
        </w:rPr>
        <w:t xml:space="preserve"> parasitaemia between day 7</w:t>
      </w:r>
      <w:r w:rsidRPr="003F41FF">
        <w:rPr>
          <w:color w:val="000000" w:themeColor="text1"/>
          <w:lang w:val="en-AU"/>
        </w:rPr>
        <w:t xml:space="preserve"> and 42 </w:t>
      </w:r>
    </w:p>
    <w:p w14:paraId="20A361AB" w14:textId="2CF717B9" w:rsidR="00FC6BF0" w:rsidRPr="00FE7EBC" w:rsidRDefault="00FC6BF0" w:rsidP="0006287D">
      <w:pPr>
        <w:pStyle w:val="NoSpacing"/>
        <w:spacing w:line="276" w:lineRule="auto"/>
        <w:rPr>
          <w:i/>
          <w:lang w:val="en-AU"/>
        </w:rPr>
      </w:pPr>
      <w:r w:rsidRPr="00FE7EBC">
        <w:rPr>
          <w:i/>
          <w:lang w:val="en-AU"/>
        </w:rPr>
        <w:t>Secondary</w:t>
      </w:r>
    </w:p>
    <w:p w14:paraId="71B335ED" w14:textId="3911FCCF" w:rsidR="0006287D" w:rsidRDefault="00AD2204" w:rsidP="0006287D">
      <w:pPr>
        <w:pStyle w:val="NoSpacing"/>
        <w:spacing w:line="276" w:lineRule="auto"/>
        <w:rPr>
          <w:lang w:val="en-AU"/>
        </w:rPr>
      </w:pPr>
      <w:r>
        <w:rPr>
          <w:lang w:val="en-AU"/>
        </w:rPr>
        <w:t>E</w:t>
      </w:r>
      <w:r w:rsidRPr="003F41FF">
        <w:rPr>
          <w:lang w:val="en-AU"/>
        </w:rPr>
        <w:t xml:space="preserve">arly treatment failure </w:t>
      </w:r>
      <w:r>
        <w:rPr>
          <w:lang w:val="en-AU"/>
        </w:rPr>
        <w:fldChar w:fldCharType="begin"/>
      </w:r>
      <w:r w:rsidR="00A4255F">
        <w:rPr>
          <w:lang w:val="en-AU"/>
        </w:rPr>
        <w:instrText xml:space="preserve"> ADDIN EN.CITE &lt;EndNote&gt;&lt;Cite&gt;&lt;Author&gt;World Health Organization&lt;/Author&gt;&lt;Year&gt;2009&lt;/Year&gt;&lt;RecNum&gt;65&lt;/RecNum&gt;&lt;DisplayText&gt;(2)&lt;/DisplayText&gt;&lt;record&gt;&lt;rec-number&gt;65&lt;/rec-number&gt;&lt;foreign-keys&gt;&lt;key app="EN" db-id="zrz59pvfoxvewle2ee8xrwt2292evzwdsrse" timestamp="0"&gt;65&lt;/key&gt;&lt;/foreign-keys&gt;&lt;ref-type name="Report"&gt;27&lt;/ref-type&gt;&lt;contributors&gt;&lt;authors&gt;&lt;author&gt;World Health Organization,&lt;/author&gt;&lt;/authors&gt;&lt;/contributors&gt;&lt;titles&gt;&lt;title&gt;Methods for surveillance of antimalarial drug efficacy&lt;/title&gt;&lt;/titles&gt;&lt;dates&gt;&lt;year&gt;2009&lt;/year&gt;&lt;/dates&gt;&lt;pub-location&gt;Geneva&lt;/pub-location&gt;&lt;publisher&gt;World Health Organization&lt;/publisher&gt;&lt;urls&gt;&lt;/urls&gt;&lt;/record&gt;&lt;/Cite&gt;&lt;/EndNote&gt;</w:instrText>
      </w:r>
      <w:r>
        <w:rPr>
          <w:lang w:val="en-AU"/>
        </w:rPr>
        <w:fldChar w:fldCharType="separate"/>
      </w:r>
      <w:r w:rsidR="00A4255F">
        <w:rPr>
          <w:noProof/>
          <w:lang w:val="en-AU"/>
        </w:rPr>
        <w:t>(2)</w:t>
      </w:r>
      <w:r>
        <w:rPr>
          <w:lang w:val="en-AU"/>
        </w:rPr>
        <w:fldChar w:fldCharType="end"/>
      </w:r>
      <w:r>
        <w:rPr>
          <w:lang w:val="en-AU"/>
        </w:rPr>
        <w:t>, includ</w:t>
      </w:r>
      <w:r w:rsidR="0006287D">
        <w:rPr>
          <w:lang w:val="en-AU"/>
        </w:rPr>
        <w:t>es:</w:t>
      </w:r>
      <w:r w:rsidR="0006287D" w:rsidRPr="0006287D">
        <w:t xml:space="preserve"> </w:t>
      </w:r>
    </w:p>
    <w:p w14:paraId="047A9E92" w14:textId="0328C41B" w:rsidR="0006287D" w:rsidRPr="0006287D" w:rsidRDefault="0006287D" w:rsidP="0006287D">
      <w:pPr>
        <w:pStyle w:val="NoSpacing"/>
        <w:numPr>
          <w:ilvl w:val="0"/>
          <w:numId w:val="4"/>
        </w:numPr>
        <w:spacing w:line="276" w:lineRule="auto"/>
        <w:rPr>
          <w:lang w:val="en-AU"/>
        </w:rPr>
      </w:pPr>
      <w:r w:rsidRPr="0006287D">
        <w:rPr>
          <w:lang w:val="en-AU"/>
        </w:rPr>
        <w:t>Danger signs or severe malaria on day 1, 2 or 3, in the presence of parasitaemia</w:t>
      </w:r>
    </w:p>
    <w:p w14:paraId="03BC4B74" w14:textId="77777777" w:rsidR="0006287D" w:rsidRDefault="0006287D" w:rsidP="0006287D">
      <w:pPr>
        <w:pStyle w:val="NoSpacing"/>
        <w:numPr>
          <w:ilvl w:val="0"/>
          <w:numId w:val="4"/>
        </w:numPr>
        <w:spacing w:line="276" w:lineRule="auto"/>
        <w:rPr>
          <w:lang w:val="en-AU"/>
        </w:rPr>
      </w:pPr>
      <w:r w:rsidRPr="0006287D">
        <w:rPr>
          <w:lang w:val="en-AU"/>
        </w:rPr>
        <w:t>Parasitaemia on day 2 higher than on day 0, irrespective of axillary temperature</w:t>
      </w:r>
    </w:p>
    <w:p w14:paraId="063B2421" w14:textId="40CEEA30" w:rsidR="0006287D" w:rsidRPr="0006287D" w:rsidRDefault="0006287D" w:rsidP="0006287D">
      <w:pPr>
        <w:pStyle w:val="NoSpacing"/>
        <w:numPr>
          <w:ilvl w:val="0"/>
          <w:numId w:val="4"/>
        </w:numPr>
        <w:spacing w:line="276" w:lineRule="auto"/>
        <w:rPr>
          <w:lang w:val="en-AU"/>
        </w:rPr>
      </w:pPr>
      <w:r w:rsidRPr="0006287D">
        <w:rPr>
          <w:lang w:val="en-AU"/>
        </w:rPr>
        <w:t>Parasitaemia on day 3 with axillary temperature ≥ 37.5°C</w:t>
      </w:r>
    </w:p>
    <w:p w14:paraId="2B2D2975" w14:textId="14F1D395" w:rsidR="0006287D" w:rsidRDefault="0006287D" w:rsidP="0006287D">
      <w:pPr>
        <w:pStyle w:val="NoSpacing"/>
        <w:numPr>
          <w:ilvl w:val="0"/>
          <w:numId w:val="4"/>
        </w:numPr>
        <w:spacing w:line="276" w:lineRule="auto"/>
        <w:rPr>
          <w:lang w:val="en-AU"/>
        </w:rPr>
      </w:pPr>
      <w:r w:rsidRPr="0006287D">
        <w:rPr>
          <w:lang w:val="en-AU"/>
        </w:rPr>
        <w:t>Parasitaemia on day 3 ≥ 25% of count on day 0</w:t>
      </w:r>
    </w:p>
    <w:p w14:paraId="4FEC5958" w14:textId="77777777" w:rsidR="0006287D" w:rsidRPr="0006287D" w:rsidRDefault="0006287D" w:rsidP="0006287D">
      <w:pPr>
        <w:pStyle w:val="NoSpacing"/>
        <w:spacing w:line="276" w:lineRule="auto"/>
        <w:rPr>
          <w:lang w:val="en-AU"/>
        </w:rPr>
      </w:pPr>
    </w:p>
    <w:p w14:paraId="534142F7" w14:textId="4EF7A2D9" w:rsidR="00900475" w:rsidRPr="005E29FA" w:rsidRDefault="00900475" w:rsidP="00900475">
      <w:pPr>
        <w:jc w:val="both"/>
        <w:rPr>
          <w:rFonts w:asciiTheme="minorHAnsi" w:hAnsiTheme="minorHAnsi"/>
          <w:noProof/>
          <w:color w:val="000000" w:themeColor="text1"/>
          <w:lang w:val="en-AU"/>
        </w:rPr>
      </w:pPr>
      <w:r w:rsidRPr="003F41FF">
        <w:rPr>
          <w:rFonts w:asciiTheme="minorHAnsi" w:hAnsiTheme="minorHAnsi"/>
          <w:noProof/>
          <w:color w:val="000000" w:themeColor="text1"/>
          <w:lang w:val="en-AU"/>
        </w:rPr>
        <w:t xml:space="preserve">Patients early parasitological response </w:t>
      </w:r>
      <w:r w:rsidR="008E352A">
        <w:rPr>
          <w:rFonts w:asciiTheme="minorHAnsi" w:hAnsiTheme="minorHAnsi"/>
          <w:noProof/>
          <w:color w:val="000000" w:themeColor="text1"/>
          <w:lang w:val="en-AU"/>
        </w:rPr>
        <w:t>(</w:t>
      </w:r>
      <w:r w:rsidR="008E352A" w:rsidRPr="008E352A">
        <w:rPr>
          <w:rFonts w:asciiTheme="minorHAnsi" w:hAnsiTheme="minorHAnsi"/>
          <w:i/>
          <w:noProof/>
          <w:color w:val="000000" w:themeColor="text1"/>
          <w:lang w:val="en-AU"/>
        </w:rPr>
        <w:t>parasite clearance</w:t>
      </w:r>
      <w:r w:rsidR="008E352A">
        <w:rPr>
          <w:rFonts w:asciiTheme="minorHAnsi" w:hAnsiTheme="minorHAnsi"/>
          <w:noProof/>
          <w:color w:val="000000" w:themeColor="text1"/>
          <w:lang w:val="en-AU"/>
        </w:rPr>
        <w:t xml:space="preserve">) </w:t>
      </w:r>
      <w:r w:rsidRPr="003F41FF">
        <w:rPr>
          <w:rFonts w:asciiTheme="minorHAnsi" w:hAnsiTheme="minorHAnsi"/>
          <w:noProof/>
          <w:color w:val="000000" w:themeColor="text1"/>
          <w:lang w:val="en-AU"/>
        </w:rPr>
        <w:t xml:space="preserve">will also be evaluated in the form of (a) parasite half life estimated by WWARN PCE tool </w:t>
      </w:r>
      <w:r>
        <w:rPr>
          <w:rFonts w:asciiTheme="minorHAnsi" w:hAnsiTheme="minorHAnsi"/>
          <w:noProof/>
          <w:color w:val="000000" w:themeColor="text1"/>
          <w:lang w:val="en-AU"/>
        </w:rPr>
        <w:fldChar w:fldCharType="begin"/>
      </w:r>
      <w:r>
        <w:rPr>
          <w:rFonts w:asciiTheme="minorHAnsi" w:hAnsiTheme="minorHAnsi"/>
          <w:noProof/>
          <w:color w:val="000000" w:themeColor="text1"/>
          <w:lang w:val="en-AU"/>
        </w:rPr>
        <w:instrText xml:space="preserve"> ADDIN EN.CITE &lt;EndNote&gt;&lt;Cite&gt;&lt;Author&gt;Flegg&lt;/Author&gt;&lt;Year&gt;2011&lt;/Year&gt;&lt;RecNum&gt;64&lt;/RecNum&gt;&lt;DisplayText&gt;(5)&lt;/DisplayText&gt;&lt;record&gt;&lt;rec-number&gt;64&lt;/rec-number&gt;&lt;foreign-keys&gt;&lt;key app="EN" db-id="zrz59pvfoxvewle2ee8xrwt2292evzwdsrse" timestamp="0"&gt;64&lt;/key&gt;&lt;/foreign-keys&gt;&lt;ref-type name="Journal Article"&gt;17&lt;/ref-type&gt;&lt;contributors&gt;&lt;authors&gt;&lt;author&gt;Flegg, J. A.&lt;/author&gt;&lt;author&gt;Guerin, P. J.&lt;/author&gt;&lt;author&gt;White, N. J.&lt;/author&gt;&lt;author&gt;Stepniewska, K.&lt;/author&gt;&lt;/authors&gt;&lt;/contributors&gt;&lt;auth-address&gt;WorldWide Anti-malarial Resistance Network (WWARN) and Centre for Tropical Medicine, Nuffield Department of Clinical Medicine, University of Oxford, Churchill Hospital, Old Road, Oxford, OX3 7LJ, UK.&lt;/auth-address&gt;&lt;titles&gt;&lt;title&gt;Standardizing the measurement of parasite clearance in falciparum malaria: the parasite clearance estimator&lt;/title&gt;&lt;secondary-title&gt;Malar J&lt;/secondary-title&gt;&lt;/titles&gt;&lt;periodical&gt;&lt;full-title&gt;Malar J&lt;/full-title&gt;&lt;/periodical&gt;&lt;pages&gt;339&lt;/pages&gt;&lt;volume&gt;10&lt;/volume&gt;&lt;keywords&gt;&lt;keyword&gt;Antimalarials/*administration &amp;amp; dosage&lt;/keyword&gt;&lt;keyword&gt;Artemisinins/administration &amp;amp; dosage&lt;/keyword&gt;&lt;keyword&gt;Blood/*parasitology&lt;/keyword&gt;&lt;keyword&gt;Cambodia&lt;/keyword&gt;&lt;keyword&gt;Humans&lt;/keyword&gt;&lt;keyword&gt;Malaria, Falciparum/*drug therapy/*parasitology&lt;/keyword&gt;&lt;keyword&gt;Parasite Load/*methods/*standards&lt;/keyword&gt;&lt;keyword&gt;Parasitemia/parasitology&lt;/keyword&gt;&lt;keyword&gt;Plasmodium falciparum/*isolation &amp;amp; purification&lt;/keyword&gt;&lt;/keywords&gt;&lt;dates&gt;&lt;year&gt;2011&lt;/year&gt;&lt;/dates&gt;&lt;isbn&gt;1475-2875 (Electronic)&amp;#xD;1475-2875 (Linking)&lt;/isbn&gt;&lt;accession-num&gt;22074219&lt;/accession-num&gt;&lt;urls&gt;&lt;related-urls&gt;&lt;url&gt;http://www.ncbi.nlm.nih.gov/pubmed/22074219&lt;/url&gt;&lt;/related-urls&gt;&lt;/urls&gt;&lt;custom2&gt;PMC3305913&lt;/custom2&gt;&lt;electronic-resource-num&gt;10.1186/1475-2875-10-339&lt;/electronic-resource-num&gt;&lt;/record&gt;&lt;/Cite&gt;&lt;/EndNote&gt;</w:instrText>
      </w:r>
      <w:r>
        <w:rPr>
          <w:rFonts w:asciiTheme="minorHAnsi" w:hAnsiTheme="minorHAnsi"/>
          <w:noProof/>
          <w:color w:val="000000" w:themeColor="text1"/>
          <w:lang w:val="en-AU"/>
        </w:rPr>
        <w:fldChar w:fldCharType="separate"/>
      </w:r>
      <w:r>
        <w:rPr>
          <w:rFonts w:asciiTheme="minorHAnsi" w:hAnsiTheme="minorHAnsi"/>
          <w:noProof/>
          <w:color w:val="000000" w:themeColor="text1"/>
          <w:lang w:val="en-AU"/>
        </w:rPr>
        <w:t>(5)</w:t>
      </w:r>
      <w:r>
        <w:rPr>
          <w:rFonts w:asciiTheme="minorHAnsi" w:hAnsiTheme="minorHAnsi"/>
          <w:noProof/>
          <w:color w:val="000000" w:themeColor="text1"/>
          <w:lang w:val="en-AU"/>
        </w:rPr>
        <w:fldChar w:fldCharType="end"/>
      </w:r>
      <w:r w:rsidRPr="003F41FF">
        <w:rPr>
          <w:rFonts w:asciiTheme="minorHAnsi" w:hAnsiTheme="minorHAnsi"/>
          <w:noProof/>
          <w:color w:val="000000" w:themeColor="text1"/>
          <w:lang w:val="en-AU"/>
        </w:rPr>
        <w:t xml:space="preserve">;  </w:t>
      </w:r>
      <w:r w:rsidR="008E352A">
        <w:rPr>
          <w:rFonts w:asciiTheme="minorHAnsi" w:hAnsiTheme="minorHAnsi"/>
          <w:noProof/>
          <w:color w:val="000000" w:themeColor="text1"/>
          <w:lang w:val="en-AU"/>
        </w:rPr>
        <w:t>(b) positivity on Day 1; (c) positivity on Day 2</w:t>
      </w:r>
      <w:r w:rsidRPr="003F41FF">
        <w:rPr>
          <w:rFonts w:asciiTheme="minorHAnsi" w:hAnsiTheme="minorHAnsi"/>
          <w:noProof/>
          <w:color w:val="000000" w:themeColor="text1"/>
          <w:lang w:val="en-AU"/>
        </w:rPr>
        <w:t>;</w:t>
      </w:r>
      <w:r w:rsidR="006C750B">
        <w:rPr>
          <w:rFonts w:asciiTheme="minorHAnsi" w:hAnsiTheme="minorHAnsi"/>
          <w:noProof/>
          <w:color w:val="000000" w:themeColor="text1"/>
          <w:lang w:val="en-AU"/>
        </w:rPr>
        <w:t xml:space="preserve"> (d) positivity on Day 3</w:t>
      </w:r>
      <w:r w:rsidR="006C750B" w:rsidRPr="003F41FF">
        <w:rPr>
          <w:rFonts w:asciiTheme="minorHAnsi" w:hAnsiTheme="minorHAnsi"/>
          <w:noProof/>
          <w:color w:val="000000" w:themeColor="text1"/>
          <w:lang w:val="en-AU"/>
        </w:rPr>
        <w:t>;</w:t>
      </w:r>
      <w:r w:rsidR="006C750B">
        <w:rPr>
          <w:rFonts w:asciiTheme="minorHAnsi" w:hAnsiTheme="minorHAnsi"/>
          <w:noProof/>
          <w:color w:val="000000" w:themeColor="text1"/>
          <w:lang w:val="en-AU"/>
        </w:rPr>
        <w:t xml:space="preserve"> (e</w:t>
      </w:r>
      <w:r w:rsidRPr="003F41FF">
        <w:rPr>
          <w:rFonts w:asciiTheme="minorHAnsi" w:hAnsiTheme="minorHAnsi"/>
          <w:noProof/>
          <w:color w:val="000000" w:themeColor="text1"/>
          <w:lang w:val="en-AU"/>
        </w:rPr>
        <w:t>) parasite half life estimated from daily counts, depending on the available data.</w:t>
      </w:r>
      <w:r w:rsidR="00B24819">
        <w:rPr>
          <w:rFonts w:asciiTheme="minorHAnsi" w:hAnsiTheme="minorHAnsi"/>
          <w:noProof/>
          <w:color w:val="000000" w:themeColor="text1"/>
          <w:lang w:val="en-AU"/>
        </w:rPr>
        <w:t xml:space="preserve"> </w:t>
      </w:r>
      <w:r w:rsidR="00B24819" w:rsidRPr="0078408D">
        <w:rPr>
          <w:rFonts w:asciiTheme="minorHAnsi" w:hAnsiTheme="minorHAnsi"/>
          <w:i/>
          <w:noProof/>
          <w:color w:val="000000" w:themeColor="text1"/>
          <w:lang w:val="en-AU"/>
        </w:rPr>
        <w:t xml:space="preserve">Parasite </w:t>
      </w:r>
      <w:r w:rsidR="0078408D" w:rsidRPr="0078408D">
        <w:rPr>
          <w:rFonts w:asciiTheme="minorHAnsi" w:hAnsiTheme="minorHAnsi"/>
          <w:i/>
          <w:noProof/>
          <w:color w:val="000000" w:themeColor="text1"/>
          <w:lang w:val="en-AU"/>
        </w:rPr>
        <w:t>positivity</w:t>
      </w:r>
      <w:r w:rsidR="0078408D">
        <w:rPr>
          <w:rFonts w:asciiTheme="minorHAnsi" w:hAnsiTheme="minorHAnsi"/>
          <w:noProof/>
          <w:color w:val="000000" w:themeColor="text1"/>
          <w:lang w:val="en-AU"/>
        </w:rPr>
        <w:t xml:space="preserve"> is defined as the pro</w:t>
      </w:r>
      <w:r w:rsidR="00B24819">
        <w:rPr>
          <w:rFonts w:asciiTheme="minorHAnsi" w:hAnsiTheme="minorHAnsi"/>
          <w:noProof/>
          <w:color w:val="000000" w:themeColor="text1"/>
          <w:lang w:val="en-AU"/>
        </w:rPr>
        <w:t>portion of people with positive parasite counts on day x compared to the number assessable o</w:t>
      </w:r>
      <w:r w:rsidR="0078408D">
        <w:rPr>
          <w:rFonts w:asciiTheme="minorHAnsi" w:hAnsiTheme="minorHAnsi"/>
          <w:noProof/>
          <w:color w:val="000000" w:themeColor="text1"/>
          <w:lang w:val="en-AU"/>
        </w:rPr>
        <w:t>n this day.</w:t>
      </w:r>
    </w:p>
    <w:p w14:paraId="423BCCBA" w14:textId="020D16E5" w:rsidR="007853A0" w:rsidRPr="005E29FA" w:rsidRDefault="007853A0" w:rsidP="007853A0">
      <w:pPr>
        <w:widowControl w:val="0"/>
        <w:autoSpaceDE w:val="0"/>
        <w:autoSpaceDN w:val="0"/>
        <w:adjustRightInd w:val="0"/>
        <w:spacing w:after="0" w:line="240" w:lineRule="auto"/>
        <w:rPr>
          <w:rFonts w:asciiTheme="minorHAnsi" w:eastAsiaTheme="minorHAnsi" w:hAnsiTheme="minorHAnsi"/>
        </w:rPr>
      </w:pPr>
      <w:r w:rsidRPr="005E29FA">
        <w:rPr>
          <w:rFonts w:asciiTheme="minorHAnsi" w:eastAsiaTheme="minorHAnsi" w:hAnsiTheme="minorHAnsi"/>
          <w:i/>
        </w:rPr>
        <w:t>Gametocyte</w:t>
      </w:r>
      <w:r w:rsidR="00CD1E16">
        <w:rPr>
          <w:rFonts w:asciiTheme="minorHAnsi" w:eastAsiaTheme="minorHAnsi" w:hAnsiTheme="minorHAnsi"/>
          <w:i/>
        </w:rPr>
        <w:t xml:space="preserve"> presence </w:t>
      </w:r>
      <w:r w:rsidRPr="005E29FA">
        <w:rPr>
          <w:rFonts w:asciiTheme="minorHAnsi" w:eastAsiaTheme="minorHAnsi" w:hAnsiTheme="minorHAnsi"/>
        </w:rPr>
        <w:t xml:space="preserve">is defined as any </w:t>
      </w:r>
      <w:r w:rsidRPr="005E29FA">
        <w:rPr>
          <w:rFonts w:asciiTheme="minorHAnsi" w:hAnsiTheme="minorHAnsi"/>
          <w:i/>
          <w:color w:val="000000" w:themeColor="text1"/>
          <w:lang w:val="en-AU"/>
        </w:rPr>
        <w:t>P. vivax</w:t>
      </w:r>
      <w:r w:rsidRPr="005E29FA">
        <w:rPr>
          <w:rFonts w:asciiTheme="minorHAnsi" w:hAnsiTheme="minorHAnsi"/>
          <w:color w:val="000000" w:themeColor="text1"/>
          <w:lang w:val="en-AU"/>
        </w:rPr>
        <w:t xml:space="preserve"> </w:t>
      </w:r>
      <w:r w:rsidRPr="005E29FA">
        <w:rPr>
          <w:rFonts w:asciiTheme="minorHAnsi" w:eastAsiaTheme="minorHAnsi" w:hAnsiTheme="minorHAnsi"/>
        </w:rPr>
        <w:t>sexual parasitaemia count/presence within 24hrs</w:t>
      </w:r>
      <w:r w:rsidR="005E29FA" w:rsidRPr="005E29FA">
        <w:rPr>
          <w:rFonts w:asciiTheme="minorHAnsi" w:eastAsiaTheme="minorHAnsi" w:hAnsiTheme="minorHAnsi"/>
        </w:rPr>
        <w:t xml:space="preserve"> </w:t>
      </w:r>
      <w:r w:rsidRPr="005E29FA">
        <w:rPr>
          <w:rFonts w:asciiTheme="minorHAnsi" w:eastAsiaTheme="minorHAnsi" w:hAnsiTheme="minorHAnsi"/>
        </w:rPr>
        <w:t>of the reading, in patients in whom this was assessed by thick film examination.</w:t>
      </w:r>
    </w:p>
    <w:p w14:paraId="1B6B99D3" w14:textId="77777777" w:rsidR="005E29FA" w:rsidRPr="005E29FA" w:rsidRDefault="005E29FA" w:rsidP="007853A0">
      <w:pPr>
        <w:widowControl w:val="0"/>
        <w:autoSpaceDE w:val="0"/>
        <w:autoSpaceDN w:val="0"/>
        <w:adjustRightInd w:val="0"/>
        <w:spacing w:after="0" w:line="240" w:lineRule="auto"/>
        <w:rPr>
          <w:rFonts w:asciiTheme="minorHAnsi" w:eastAsiaTheme="minorHAnsi" w:hAnsiTheme="minorHAnsi"/>
        </w:rPr>
      </w:pPr>
    </w:p>
    <w:p w14:paraId="0B29CBE6" w14:textId="10A79778" w:rsidR="007853A0" w:rsidRPr="005E29FA" w:rsidRDefault="007853A0" w:rsidP="007853A0">
      <w:pPr>
        <w:widowControl w:val="0"/>
        <w:autoSpaceDE w:val="0"/>
        <w:autoSpaceDN w:val="0"/>
        <w:adjustRightInd w:val="0"/>
        <w:spacing w:after="0" w:line="240" w:lineRule="auto"/>
        <w:rPr>
          <w:rFonts w:asciiTheme="minorHAnsi" w:eastAsiaTheme="minorHAnsi" w:hAnsiTheme="minorHAnsi"/>
        </w:rPr>
      </w:pPr>
      <w:r w:rsidRPr="005E29FA">
        <w:rPr>
          <w:rFonts w:asciiTheme="minorHAnsi" w:eastAsiaTheme="minorHAnsi" w:hAnsiTheme="minorHAnsi"/>
          <w:i/>
        </w:rPr>
        <w:t>G</w:t>
      </w:r>
      <w:r w:rsidR="005E29FA" w:rsidRPr="005E29FA">
        <w:rPr>
          <w:rFonts w:asciiTheme="minorHAnsi" w:eastAsiaTheme="minorHAnsi" w:hAnsiTheme="minorHAnsi"/>
          <w:i/>
        </w:rPr>
        <w:t xml:space="preserve">ametocyte carriage during follow </w:t>
      </w:r>
      <w:r w:rsidRPr="005E29FA">
        <w:rPr>
          <w:rFonts w:asciiTheme="minorHAnsi" w:eastAsiaTheme="minorHAnsi" w:hAnsiTheme="minorHAnsi"/>
          <w:i/>
        </w:rPr>
        <w:t>up</w:t>
      </w:r>
      <w:r w:rsidRPr="005E29FA">
        <w:rPr>
          <w:rFonts w:asciiTheme="minorHAnsi" w:eastAsiaTheme="minorHAnsi" w:hAnsiTheme="minorHAnsi"/>
        </w:rPr>
        <w:t xml:space="preserve"> is defined as patent </w:t>
      </w:r>
      <w:r w:rsidRPr="005E29FA">
        <w:rPr>
          <w:rFonts w:asciiTheme="minorHAnsi" w:hAnsiTheme="minorHAnsi"/>
          <w:i/>
          <w:color w:val="000000" w:themeColor="text1"/>
          <w:lang w:val="en-AU"/>
        </w:rPr>
        <w:t>P. vivax</w:t>
      </w:r>
      <w:r w:rsidRPr="005E29FA">
        <w:rPr>
          <w:rFonts w:asciiTheme="minorHAnsi" w:hAnsiTheme="minorHAnsi"/>
          <w:color w:val="000000" w:themeColor="text1"/>
          <w:lang w:val="en-AU"/>
        </w:rPr>
        <w:t xml:space="preserve"> </w:t>
      </w:r>
      <w:r w:rsidRPr="005E29FA">
        <w:rPr>
          <w:rFonts w:asciiTheme="minorHAnsi" w:eastAsiaTheme="minorHAnsi" w:hAnsiTheme="minorHAnsi"/>
        </w:rPr>
        <w:t>gametocytaemia after enrollment</w:t>
      </w:r>
    </w:p>
    <w:p w14:paraId="5D7FDF3D" w14:textId="64D62AC0" w:rsidR="007853A0" w:rsidRPr="005E29FA" w:rsidRDefault="007853A0" w:rsidP="007853A0">
      <w:pPr>
        <w:widowControl w:val="0"/>
        <w:autoSpaceDE w:val="0"/>
        <w:autoSpaceDN w:val="0"/>
        <w:adjustRightInd w:val="0"/>
        <w:spacing w:after="0" w:line="240" w:lineRule="auto"/>
        <w:rPr>
          <w:rFonts w:asciiTheme="minorHAnsi" w:eastAsiaTheme="minorHAnsi" w:hAnsiTheme="minorHAnsi"/>
        </w:rPr>
      </w:pPr>
      <w:r w:rsidRPr="005E29FA">
        <w:rPr>
          <w:rFonts w:asciiTheme="minorHAnsi" w:eastAsiaTheme="minorHAnsi" w:hAnsiTheme="minorHAnsi"/>
        </w:rPr>
        <w:t>(&gt;24hrs) up to study end, whilst taking account of reinfection rates, transmission levels, and</w:t>
      </w:r>
    </w:p>
    <w:p w14:paraId="5AD7BC5E" w14:textId="0DA41934" w:rsidR="007853A0" w:rsidRPr="005E29FA" w:rsidRDefault="007853A0" w:rsidP="007853A0">
      <w:pPr>
        <w:rPr>
          <w:rFonts w:asciiTheme="minorHAnsi" w:hAnsiTheme="minorHAnsi"/>
          <w:lang w:val="en-AU"/>
        </w:rPr>
      </w:pPr>
      <w:r w:rsidRPr="005E29FA">
        <w:rPr>
          <w:rFonts w:asciiTheme="minorHAnsi" w:eastAsiaTheme="minorHAnsi" w:hAnsiTheme="minorHAnsi"/>
        </w:rPr>
        <w:t>concurrent asexual parasitaemia results within patients.</w:t>
      </w:r>
    </w:p>
    <w:p w14:paraId="0E3E2610" w14:textId="77777777" w:rsidR="00457F3C" w:rsidRPr="003F41FF" w:rsidRDefault="00457F3C" w:rsidP="00457F3C">
      <w:pPr>
        <w:rPr>
          <w:lang w:val="en-AU"/>
        </w:rPr>
      </w:pPr>
    </w:p>
    <w:p w14:paraId="0146F29B" w14:textId="77777777" w:rsidR="00457F3C" w:rsidRPr="003F41FF" w:rsidRDefault="00457F3C" w:rsidP="00457F3C">
      <w:pPr>
        <w:pStyle w:val="Heading2"/>
        <w:rPr>
          <w:rStyle w:val="Strong"/>
          <w:rFonts w:asciiTheme="majorHAnsi" w:hAnsiTheme="majorHAnsi"/>
          <w:color w:val="2E74B5" w:themeColor="accent1" w:themeShade="BF"/>
          <w:sz w:val="26"/>
        </w:rPr>
      </w:pPr>
      <w:bookmarkStart w:id="24" w:name="_Toc385920014"/>
      <w:bookmarkStart w:id="25" w:name="_Toc457660148"/>
      <w:bookmarkStart w:id="26" w:name="_Toc461542560"/>
      <w:r w:rsidRPr="003F41FF">
        <w:rPr>
          <w:rStyle w:val="Strong"/>
          <w:rFonts w:asciiTheme="majorHAnsi" w:hAnsiTheme="majorHAnsi"/>
          <w:color w:val="2E74B5" w:themeColor="accent1" w:themeShade="BF"/>
          <w:sz w:val="26"/>
        </w:rPr>
        <w:t>2.4 Study and patient characteristics</w:t>
      </w:r>
      <w:bookmarkEnd w:id="24"/>
      <w:bookmarkEnd w:id="25"/>
      <w:bookmarkEnd w:id="26"/>
    </w:p>
    <w:p w14:paraId="19D5E007" w14:textId="77777777" w:rsidR="00457F3C" w:rsidRPr="003F41FF" w:rsidRDefault="00457F3C" w:rsidP="00457F3C">
      <w:pPr>
        <w:pStyle w:val="Default"/>
        <w:spacing w:line="276" w:lineRule="auto"/>
        <w:rPr>
          <w:rFonts w:asciiTheme="minorHAnsi" w:hAnsiTheme="minorHAnsi"/>
          <w:color w:val="000000" w:themeColor="text1"/>
          <w:sz w:val="22"/>
          <w:szCs w:val="22"/>
          <w:lang w:val="en-AU"/>
        </w:rPr>
      </w:pPr>
      <w:r w:rsidRPr="003F41FF">
        <w:rPr>
          <w:rFonts w:asciiTheme="minorHAnsi" w:hAnsiTheme="minorHAnsi"/>
          <w:color w:val="000000" w:themeColor="text1"/>
          <w:sz w:val="22"/>
          <w:szCs w:val="22"/>
          <w:lang w:val="en-AU"/>
        </w:rPr>
        <w:t>The following baseline characteristics will be examined:</w:t>
      </w:r>
    </w:p>
    <w:p w14:paraId="3D003D78" w14:textId="77777777" w:rsidR="00457F3C" w:rsidRPr="003F41FF" w:rsidRDefault="00457F3C" w:rsidP="00457F3C">
      <w:pPr>
        <w:ind w:firstLine="720"/>
        <w:jc w:val="both"/>
        <w:rPr>
          <w:rFonts w:asciiTheme="minorHAnsi" w:hAnsiTheme="minorHAnsi" w:cstheme="minorHAnsi"/>
          <w:b/>
          <w:noProof/>
          <w:color w:val="000000" w:themeColor="text1"/>
          <w:lang w:val="en-AU"/>
        </w:rPr>
      </w:pPr>
      <w:r w:rsidRPr="003F41FF">
        <w:rPr>
          <w:rFonts w:asciiTheme="minorHAnsi" w:hAnsiTheme="minorHAnsi" w:cstheme="minorHAnsi"/>
          <w:b/>
          <w:noProof/>
          <w:color w:val="000000" w:themeColor="text1"/>
          <w:lang w:val="en-AU"/>
        </w:rPr>
        <w:t>Site</w:t>
      </w:r>
      <w:r w:rsidRPr="003F41FF">
        <w:rPr>
          <w:rFonts w:asciiTheme="minorHAnsi" w:hAnsiTheme="minorHAnsi" w:cstheme="minorHAnsi"/>
          <w:noProof/>
          <w:color w:val="000000" w:themeColor="text1"/>
          <w:lang w:val="en-AU"/>
        </w:rPr>
        <w:t xml:space="preserve">: transmission intensity, regional relapse periodicity, chloroquine resistance </w:t>
      </w:r>
    </w:p>
    <w:p w14:paraId="4D42EA2A" w14:textId="77777777" w:rsidR="00457F3C" w:rsidRPr="003F41FF" w:rsidRDefault="00457F3C" w:rsidP="00457F3C">
      <w:pPr>
        <w:ind w:left="720"/>
        <w:jc w:val="both"/>
        <w:rPr>
          <w:rFonts w:asciiTheme="minorHAnsi" w:hAnsiTheme="minorHAnsi" w:cstheme="minorHAnsi"/>
          <w:noProof/>
          <w:color w:val="000000" w:themeColor="text1"/>
          <w:lang w:val="en-AU"/>
        </w:rPr>
      </w:pPr>
      <w:r w:rsidRPr="003F41FF">
        <w:rPr>
          <w:rFonts w:asciiTheme="minorHAnsi" w:hAnsiTheme="minorHAnsi" w:cstheme="minorHAnsi"/>
          <w:b/>
          <w:noProof/>
          <w:color w:val="000000" w:themeColor="text1"/>
          <w:lang w:val="en-AU"/>
        </w:rPr>
        <w:t>Patient:</w:t>
      </w:r>
      <w:r w:rsidRPr="003F41FF">
        <w:rPr>
          <w:rFonts w:asciiTheme="minorHAnsi" w:hAnsiTheme="minorHAnsi" w:cstheme="minorHAnsi"/>
          <w:noProof/>
          <w:color w:val="000000" w:themeColor="text1"/>
          <w:lang w:val="en-AU"/>
        </w:rPr>
        <w:t xml:space="preserve"> age, sex, weight, nutritional status, history of malaria in the last 28 days, history of fever in the last 24 hours, fever (&gt;37.5</w:t>
      </w:r>
      <w:r w:rsidRPr="003F41FF">
        <w:rPr>
          <w:rFonts w:asciiTheme="minorHAnsi" w:hAnsiTheme="minorHAnsi"/>
          <w:vertAlign w:val="superscript"/>
          <w:lang w:val="en-AU"/>
        </w:rPr>
        <w:t>0</w:t>
      </w:r>
      <w:r w:rsidRPr="003F41FF">
        <w:rPr>
          <w:rFonts w:asciiTheme="minorHAnsi" w:hAnsiTheme="minorHAnsi"/>
          <w:lang w:val="en-AU"/>
        </w:rPr>
        <w:t>C</w:t>
      </w:r>
      <w:r w:rsidR="00AD2204">
        <w:rPr>
          <w:rFonts w:asciiTheme="minorHAnsi" w:hAnsiTheme="minorHAnsi"/>
          <w:lang w:val="en-AU"/>
        </w:rPr>
        <w:t xml:space="preserve"> axillary</w:t>
      </w:r>
      <w:r w:rsidRPr="003F41FF">
        <w:rPr>
          <w:rFonts w:asciiTheme="minorHAnsi" w:hAnsiTheme="minorHAnsi"/>
          <w:lang w:val="en-AU"/>
        </w:rPr>
        <w:t>), G6PD status</w:t>
      </w:r>
    </w:p>
    <w:p w14:paraId="1B1E2D05" w14:textId="0B7B94D0" w:rsidR="00457F3C" w:rsidRPr="003F41FF" w:rsidRDefault="00457F3C" w:rsidP="00457F3C">
      <w:pPr>
        <w:ind w:left="720"/>
        <w:jc w:val="both"/>
        <w:rPr>
          <w:rFonts w:asciiTheme="minorHAnsi" w:hAnsiTheme="minorHAnsi" w:cstheme="minorHAnsi"/>
          <w:noProof/>
          <w:color w:val="000000" w:themeColor="text1"/>
          <w:lang w:val="en-AU"/>
        </w:rPr>
      </w:pPr>
      <w:r w:rsidRPr="003F41FF">
        <w:rPr>
          <w:rFonts w:asciiTheme="minorHAnsi" w:hAnsiTheme="minorHAnsi" w:cstheme="minorHAnsi"/>
          <w:b/>
          <w:noProof/>
          <w:color w:val="000000" w:themeColor="text1"/>
          <w:lang w:val="en-AU"/>
        </w:rPr>
        <w:t>Drug</w:t>
      </w:r>
      <w:r w:rsidRPr="003F41FF">
        <w:rPr>
          <w:rFonts w:asciiTheme="minorHAnsi" w:hAnsiTheme="minorHAnsi" w:cstheme="minorHAnsi"/>
          <w:noProof/>
          <w:color w:val="000000" w:themeColor="text1"/>
          <w:lang w:val="en-AU"/>
        </w:rPr>
        <w:t xml:space="preserve">: schizontocidal treatment and mg/kg dose, primaquine use, timing and mg/kg dose, supervision of drug intake (full or partial), </w:t>
      </w:r>
      <w:r w:rsidR="00AD2204">
        <w:rPr>
          <w:rFonts w:asciiTheme="minorHAnsi" w:hAnsiTheme="minorHAnsi" w:cstheme="minorHAnsi"/>
          <w:noProof/>
          <w:color w:val="000000" w:themeColor="text1"/>
          <w:lang w:val="en-AU"/>
        </w:rPr>
        <w:t xml:space="preserve">early </w:t>
      </w:r>
      <w:r w:rsidRPr="003F41FF">
        <w:rPr>
          <w:rFonts w:asciiTheme="minorHAnsi" w:hAnsiTheme="minorHAnsi" w:cstheme="minorHAnsi"/>
          <w:noProof/>
          <w:color w:val="000000" w:themeColor="text1"/>
          <w:lang w:val="en-AU"/>
        </w:rPr>
        <w:t>vomiting</w:t>
      </w:r>
      <w:r w:rsidR="00AD2204">
        <w:rPr>
          <w:rFonts w:asciiTheme="minorHAnsi" w:hAnsiTheme="minorHAnsi" w:cstheme="minorHAnsi"/>
          <w:noProof/>
          <w:color w:val="000000" w:themeColor="text1"/>
          <w:lang w:val="en-AU"/>
        </w:rPr>
        <w:t xml:space="preserve"> of drug (within 1 hour)</w:t>
      </w:r>
    </w:p>
    <w:p w14:paraId="6FB1D189" w14:textId="3ECBB475" w:rsidR="00457F3C" w:rsidRPr="003F41FF" w:rsidRDefault="00457F3C" w:rsidP="00457F3C">
      <w:pPr>
        <w:ind w:left="720"/>
        <w:jc w:val="both"/>
        <w:rPr>
          <w:rFonts w:asciiTheme="minorHAnsi" w:hAnsiTheme="minorHAnsi" w:cstheme="minorHAnsi"/>
          <w:noProof/>
          <w:color w:val="000000" w:themeColor="text1"/>
          <w:lang w:val="en-AU"/>
        </w:rPr>
      </w:pPr>
      <w:r w:rsidRPr="003F41FF">
        <w:rPr>
          <w:rFonts w:asciiTheme="minorHAnsi" w:hAnsiTheme="minorHAnsi" w:cstheme="minorHAnsi"/>
          <w:b/>
          <w:noProof/>
          <w:color w:val="000000" w:themeColor="text1"/>
          <w:lang w:val="en-AU"/>
        </w:rPr>
        <w:t>Laboratory:</w:t>
      </w:r>
      <w:r w:rsidRPr="003F41FF">
        <w:rPr>
          <w:rFonts w:asciiTheme="minorHAnsi" w:hAnsiTheme="minorHAnsi" w:cstheme="minorHAnsi"/>
          <w:noProof/>
          <w:color w:val="000000" w:themeColor="text1"/>
          <w:lang w:val="en-AU"/>
        </w:rPr>
        <w:t xml:space="preserve"> parasitaemia, gametocyt</w:t>
      </w:r>
      <w:r w:rsidR="00AD2204">
        <w:rPr>
          <w:rFonts w:asciiTheme="minorHAnsi" w:hAnsiTheme="minorHAnsi" w:cstheme="minorHAnsi"/>
          <w:noProof/>
          <w:color w:val="000000" w:themeColor="text1"/>
          <w:lang w:val="en-AU"/>
        </w:rPr>
        <w:t>aemia</w:t>
      </w:r>
      <w:r w:rsidRPr="003F41FF">
        <w:rPr>
          <w:rFonts w:asciiTheme="minorHAnsi" w:hAnsiTheme="minorHAnsi" w:cstheme="minorHAnsi"/>
          <w:noProof/>
          <w:color w:val="000000" w:themeColor="text1"/>
          <w:lang w:val="en-AU"/>
        </w:rPr>
        <w:t>, haemoglobin</w:t>
      </w:r>
      <w:r w:rsidR="0096603A">
        <w:rPr>
          <w:rFonts w:asciiTheme="minorHAnsi" w:hAnsiTheme="minorHAnsi" w:cstheme="minorHAnsi"/>
          <w:noProof/>
          <w:color w:val="000000" w:themeColor="text1"/>
          <w:lang w:val="en-AU"/>
        </w:rPr>
        <w:t xml:space="preserve"> concentration</w:t>
      </w:r>
    </w:p>
    <w:p w14:paraId="13C061DE" w14:textId="77777777" w:rsidR="00457F3C" w:rsidRPr="003F41FF" w:rsidRDefault="00457F3C" w:rsidP="00457F3C">
      <w:pPr>
        <w:rPr>
          <w:rFonts w:asciiTheme="minorHAnsi" w:hAnsiTheme="minorHAnsi"/>
          <w:lang w:val="en-AU"/>
        </w:rPr>
      </w:pPr>
    </w:p>
    <w:p w14:paraId="0FB8AE8C" w14:textId="2AE911A1" w:rsidR="0059015A" w:rsidRDefault="00457F3C" w:rsidP="009B12AA">
      <w:pPr>
        <w:jc w:val="both"/>
        <w:rPr>
          <w:rFonts w:asciiTheme="minorHAnsi" w:hAnsiTheme="minorHAnsi"/>
          <w:lang w:val="en-AU"/>
        </w:rPr>
      </w:pPr>
      <w:r w:rsidRPr="003F41FF">
        <w:rPr>
          <w:rFonts w:asciiTheme="minorHAnsi" w:hAnsiTheme="minorHAnsi"/>
          <w:lang w:val="en-AU"/>
        </w:rPr>
        <w:t>Children will be considered as age</w:t>
      </w:r>
      <w:r w:rsidR="00F47E25">
        <w:rPr>
          <w:rFonts w:asciiTheme="minorHAnsi" w:hAnsiTheme="minorHAnsi"/>
          <w:lang w:val="en-AU"/>
        </w:rPr>
        <w:t>d</w:t>
      </w:r>
      <w:r w:rsidR="006C750B">
        <w:rPr>
          <w:rFonts w:asciiTheme="minorHAnsi" w:hAnsiTheme="minorHAnsi"/>
          <w:lang w:val="en-AU"/>
        </w:rPr>
        <w:t xml:space="preserve"> &lt;15</w:t>
      </w:r>
      <w:r w:rsidRPr="003F41FF">
        <w:rPr>
          <w:rFonts w:asciiTheme="minorHAnsi" w:hAnsiTheme="minorHAnsi"/>
          <w:lang w:val="en-AU"/>
        </w:rPr>
        <w:t xml:space="preserve"> years with childhood age stratified into </w:t>
      </w:r>
      <w:r w:rsidR="006C750B">
        <w:rPr>
          <w:rFonts w:asciiTheme="minorHAnsi" w:hAnsiTheme="minorHAnsi"/>
          <w:lang w:val="en-AU"/>
        </w:rPr>
        <w:t>&lt;5 years and</w:t>
      </w:r>
      <w:r w:rsidRPr="003F41FF">
        <w:rPr>
          <w:rFonts w:asciiTheme="minorHAnsi" w:hAnsiTheme="minorHAnsi"/>
          <w:lang w:val="en-AU"/>
        </w:rPr>
        <w:t xml:space="preserve"> 5 to </w:t>
      </w:r>
      <w:r w:rsidR="006C750B">
        <w:rPr>
          <w:rFonts w:asciiTheme="minorHAnsi" w:hAnsiTheme="minorHAnsi"/>
          <w:lang w:val="en-AU"/>
        </w:rPr>
        <w:t>&lt;15</w:t>
      </w:r>
      <w:r w:rsidRPr="003F41FF">
        <w:rPr>
          <w:rFonts w:asciiTheme="minorHAnsi" w:hAnsiTheme="minorHAnsi"/>
          <w:lang w:val="en-AU"/>
        </w:rPr>
        <w:t xml:space="preserve"> years.</w:t>
      </w:r>
    </w:p>
    <w:p w14:paraId="0D7F2565" w14:textId="77777777" w:rsidR="009B12AA" w:rsidRPr="009B12AA" w:rsidRDefault="009B12AA" w:rsidP="009B12AA">
      <w:pPr>
        <w:jc w:val="both"/>
        <w:rPr>
          <w:rFonts w:asciiTheme="minorHAnsi" w:hAnsiTheme="minorHAnsi"/>
          <w:lang w:val="en-AU"/>
        </w:rPr>
      </w:pPr>
    </w:p>
    <w:p w14:paraId="38EFBF42" w14:textId="65E48006" w:rsidR="00457F3C" w:rsidRPr="003F41FF" w:rsidRDefault="00457F3C" w:rsidP="00457F3C">
      <w:pPr>
        <w:jc w:val="both"/>
        <w:rPr>
          <w:rFonts w:asciiTheme="minorHAnsi" w:hAnsiTheme="minorHAnsi" w:cs="Tahoma"/>
          <w:noProof/>
          <w:color w:val="000000" w:themeColor="text1"/>
          <w:lang w:val="en-AU"/>
        </w:rPr>
      </w:pPr>
      <w:r w:rsidRPr="003F41FF">
        <w:rPr>
          <w:rFonts w:asciiTheme="minorHAnsi" w:hAnsiTheme="minorHAnsi" w:cs="Tahoma"/>
          <w:noProof/>
          <w:color w:val="000000" w:themeColor="text1"/>
          <w:lang w:val="en-AU"/>
        </w:rPr>
        <w:t xml:space="preserve">The nutritional status of children aged &lt;5 years of age will be  calculated as a weight-for-age z-score, using the igrowup package developed by WHO </w:t>
      </w:r>
      <w:r>
        <w:rPr>
          <w:rFonts w:asciiTheme="minorHAnsi" w:hAnsiTheme="minorHAnsi" w:cs="Tahoma"/>
          <w:noProof/>
          <w:color w:val="000000" w:themeColor="text1"/>
          <w:lang w:val="en-AU"/>
        </w:rPr>
        <w:fldChar w:fldCharType="begin"/>
      </w:r>
      <w:r w:rsidR="00A4255F">
        <w:rPr>
          <w:rFonts w:asciiTheme="minorHAnsi" w:hAnsiTheme="minorHAnsi" w:cs="Tahoma"/>
          <w:noProof/>
          <w:color w:val="000000" w:themeColor="text1"/>
          <w:lang w:val="en-AU"/>
        </w:rPr>
        <w:instrText xml:space="preserve"> ADDIN EN.CITE &lt;EndNote&gt;&lt;Cite&gt;&lt;Author&gt;World Health Organization&lt;/Author&gt;&lt;Year&gt;2006&lt;/Year&gt;&lt;RecNum&gt;68&lt;/RecNum&gt;&lt;DisplayText&gt;(3)&lt;/DisplayText&gt;&lt;record&gt;&lt;rec-number&gt;68&lt;/rec-number&gt;&lt;foreign-keys&gt;&lt;key app="EN" db-id="zrz59pvfoxvewle2ee8xrwt2292evzwdsrse" timestamp="0"&gt;68&lt;/key&gt;&lt;/foreign-keys&gt;&lt;ref-type name="Report"&gt;27&lt;/ref-type&gt;&lt;contributors&gt;&lt;authors&gt;&lt;author&gt;World Health Organization,&lt;/author&gt;&lt;/authors&gt;&lt;tertiary-authors&gt;&lt;author&gt;World Health Organization&lt;/author&gt;&lt;/tertiary-authors&gt;&lt;/contributors&gt;&lt;titles&gt;&lt;title&gt;WHO Child Growth Standards: Length/height-for-age, weight-for-age, weight-for-length, weight-for-height and body mass index-for-age: Methods and development&lt;/title&gt;&lt;/titles&gt;&lt;pages&gt;312&lt;/pages&gt;&lt;dates&gt;&lt;year&gt;2006&lt;/year&gt;&lt;/dates&gt;&lt;pub-location&gt;Geneva&lt;/pub-location&gt;&lt;urls&gt;&lt;/urls&gt;&lt;/record&gt;&lt;/Cite&gt;&lt;/EndNote&gt;</w:instrText>
      </w:r>
      <w:r>
        <w:rPr>
          <w:rFonts w:asciiTheme="minorHAnsi" w:hAnsiTheme="minorHAnsi" w:cs="Tahoma"/>
          <w:noProof/>
          <w:color w:val="000000" w:themeColor="text1"/>
          <w:lang w:val="en-AU"/>
        </w:rPr>
        <w:fldChar w:fldCharType="separate"/>
      </w:r>
      <w:r w:rsidR="00A4255F">
        <w:rPr>
          <w:rFonts w:asciiTheme="minorHAnsi" w:hAnsiTheme="minorHAnsi" w:cs="Tahoma"/>
          <w:noProof/>
          <w:color w:val="000000" w:themeColor="text1"/>
          <w:lang w:val="en-AU"/>
        </w:rPr>
        <w:t>(3)</w:t>
      </w:r>
      <w:r>
        <w:rPr>
          <w:rFonts w:asciiTheme="minorHAnsi" w:hAnsiTheme="minorHAnsi" w:cs="Tahoma"/>
          <w:noProof/>
          <w:color w:val="000000" w:themeColor="text1"/>
          <w:lang w:val="en-AU"/>
        </w:rPr>
        <w:fldChar w:fldCharType="end"/>
      </w:r>
      <w:r w:rsidRPr="003F41FF">
        <w:rPr>
          <w:rFonts w:asciiTheme="minorHAnsi" w:hAnsiTheme="minorHAnsi" w:cs="Tahoma"/>
          <w:noProof/>
          <w:color w:val="000000" w:themeColor="text1"/>
          <w:lang w:val="en-AU"/>
        </w:rPr>
        <w:t>. Those with weight-for-age z-scores &lt; -2 (i.e. below the 3</w:t>
      </w:r>
      <w:r w:rsidRPr="003F41FF">
        <w:rPr>
          <w:rFonts w:asciiTheme="minorHAnsi" w:hAnsiTheme="minorHAnsi" w:cs="Tahoma"/>
          <w:noProof/>
          <w:color w:val="000000" w:themeColor="text1"/>
          <w:vertAlign w:val="superscript"/>
          <w:lang w:val="en-AU"/>
        </w:rPr>
        <w:t>rd</w:t>
      </w:r>
      <w:r w:rsidRPr="003F41FF">
        <w:rPr>
          <w:rFonts w:asciiTheme="minorHAnsi" w:hAnsiTheme="minorHAnsi" w:cs="Tahoma"/>
          <w:noProof/>
          <w:color w:val="000000" w:themeColor="text1"/>
          <w:lang w:val="en-AU"/>
        </w:rPr>
        <w:t xml:space="preserve"> centile) will be classified as underweight-for-age (termed underweight). </w:t>
      </w:r>
      <w:r w:rsidR="006C750B">
        <w:rPr>
          <w:color w:val="000000" w:themeColor="text1"/>
        </w:rPr>
        <w:t>W</w:t>
      </w:r>
      <w:r w:rsidR="006C750B" w:rsidRPr="00C23A2C">
        <w:rPr>
          <w:color w:val="000000" w:themeColor="text1"/>
        </w:rPr>
        <w:t>eight-for-age Z score</w:t>
      </w:r>
      <w:r w:rsidR="006C750B">
        <w:rPr>
          <w:color w:val="000000" w:themeColor="text1"/>
        </w:rPr>
        <w:t xml:space="preserve">s will be set to missing if the score is </w:t>
      </w:r>
      <w:r w:rsidR="006C750B" w:rsidRPr="00C23A2C">
        <w:rPr>
          <w:color w:val="000000" w:themeColor="text1"/>
        </w:rPr>
        <w:t>less than</w:t>
      </w:r>
      <w:r w:rsidR="006C750B">
        <w:rPr>
          <w:color w:val="000000" w:themeColor="text1"/>
        </w:rPr>
        <w:t xml:space="preserve"> -6 or greater than 6.</w:t>
      </w:r>
    </w:p>
    <w:p w14:paraId="608928C2" w14:textId="27D6B376" w:rsidR="00457F3C" w:rsidRPr="003F41FF" w:rsidRDefault="00457F3C" w:rsidP="00457F3C">
      <w:pPr>
        <w:jc w:val="both"/>
        <w:rPr>
          <w:rFonts w:asciiTheme="minorHAnsi" w:hAnsiTheme="minorHAnsi"/>
          <w:noProof/>
          <w:color w:val="000000" w:themeColor="text1"/>
          <w:lang w:val="en-AU"/>
        </w:rPr>
      </w:pPr>
      <w:r w:rsidRPr="003F41FF">
        <w:rPr>
          <w:rFonts w:asciiTheme="minorHAnsi" w:hAnsiTheme="minorHAnsi"/>
          <w:noProof/>
          <w:color w:val="000000" w:themeColor="text1"/>
          <w:lang w:val="en-AU"/>
        </w:rPr>
        <w:t xml:space="preserve">Treatment will be classified as supervised if all doses were directly observed, partially supervised if at least the morning doses </w:t>
      </w:r>
      <w:r w:rsidR="0096603A">
        <w:rPr>
          <w:rFonts w:asciiTheme="minorHAnsi" w:hAnsiTheme="minorHAnsi"/>
          <w:noProof/>
          <w:color w:val="000000" w:themeColor="text1"/>
          <w:lang w:val="en-AU"/>
        </w:rPr>
        <w:t xml:space="preserve">of a bd regimen </w:t>
      </w:r>
      <w:r w:rsidRPr="003F41FF">
        <w:rPr>
          <w:rFonts w:asciiTheme="minorHAnsi" w:hAnsiTheme="minorHAnsi"/>
          <w:noProof/>
          <w:color w:val="000000" w:themeColor="text1"/>
          <w:lang w:val="en-AU"/>
        </w:rPr>
        <w:t xml:space="preserve">were observed, and not-supervised if fewer doses were observed. </w:t>
      </w:r>
    </w:p>
    <w:p w14:paraId="08ED75E5" w14:textId="77777777" w:rsidR="00457F3C" w:rsidRPr="003F41FF" w:rsidRDefault="00457F3C" w:rsidP="00457F3C">
      <w:pPr>
        <w:jc w:val="both"/>
        <w:rPr>
          <w:rFonts w:asciiTheme="minorHAnsi" w:hAnsiTheme="minorHAnsi"/>
          <w:lang w:val="en-AU"/>
        </w:rPr>
      </w:pPr>
      <w:r w:rsidRPr="003F41FF">
        <w:rPr>
          <w:rFonts w:asciiTheme="minorHAnsi" w:hAnsiTheme="minorHAnsi"/>
          <w:lang w:val="en-AU"/>
        </w:rPr>
        <w:t>The doses of treatment received i.e. primaquine, chloroquine, ACT will be calculated from the number of daily tablets administered to each patient. If the daily tablet counts are not available, doses will then be back-calculated using the dosing scheme available from study protocols. For each component, a total dose per weight will be calculated for each patient.</w:t>
      </w:r>
    </w:p>
    <w:p w14:paraId="18D07662" w14:textId="0D466030" w:rsidR="00457F3C" w:rsidRPr="003F41FF" w:rsidRDefault="00457F3C" w:rsidP="00457F3C">
      <w:pPr>
        <w:pStyle w:val="Default"/>
        <w:spacing w:line="276" w:lineRule="auto"/>
        <w:jc w:val="both"/>
        <w:rPr>
          <w:rFonts w:asciiTheme="minorHAnsi" w:hAnsiTheme="minorHAnsi" w:cstheme="minorHAnsi"/>
          <w:noProof/>
          <w:color w:val="000000" w:themeColor="text1"/>
          <w:sz w:val="22"/>
          <w:szCs w:val="22"/>
          <w:lang w:val="en-AU"/>
        </w:rPr>
      </w:pPr>
      <w:r w:rsidRPr="003F41FF">
        <w:rPr>
          <w:rFonts w:asciiTheme="minorHAnsi" w:hAnsiTheme="minorHAnsi" w:cstheme="minorHAnsi"/>
          <w:noProof/>
          <w:color w:val="000000" w:themeColor="text1"/>
          <w:sz w:val="22"/>
          <w:szCs w:val="22"/>
          <w:lang w:val="en-AU"/>
        </w:rPr>
        <w:t xml:space="preserve">In studies with haematocrit measured instead of haemoglobin, haematocrit will be converted to haemoglobin using the following relationship </w:t>
      </w:r>
      <w:r>
        <w:rPr>
          <w:rFonts w:asciiTheme="minorHAnsi" w:hAnsiTheme="minorHAnsi" w:cstheme="minorHAnsi"/>
          <w:noProof/>
          <w:color w:val="000000" w:themeColor="text1"/>
          <w:sz w:val="22"/>
          <w:szCs w:val="22"/>
          <w:lang w:val="en-AU"/>
        </w:rPr>
        <w:fldChar w:fldCharType="begin">
          <w:fldData xml:space="preserve">PEVuZE5vdGU+PENpdGU+PEF1dGhvcj5MZWU8L0F1dGhvcj48WWVhcj4yMDA4PC9ZZWFyPjxSZWNO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</w:fldData>
        </w:fldChar>
      </w:r>
      <w:r w:rsidR="00A4255F">
        <w:rPr>
          <w:rFonts w:asciiTheme="minorHAnsi" w:hAnsiTheme="minorHAnsi" w:cstheme="minorHAnsi"/>
          <w:noProof/>
          <w:color w:val="000000" w:themeColor="text1"/>
          <w:sz w:val="22"/>
          <w:szCs w:val="22"/>
          <w:lang w:val="en-AU"/>
        </w:rPr>
        <w:instrText xml:space="preserve"> ADDIN EN.CITE </w:instrText>
      </w:r>
      <w:r w:rsidR="00A4255F">
        <w:rPr>
          <w:rFonts w:asciiTheme="minorHAnsi" w:hAnsiTheme="minorHAnsi" w:cstheme="minorHAnsi"/>
          <w:noProof/>
          <w:color w:val="000000" w:themeColor="text1"/>
          <w:sz w:val="22"/>
          <w:szCs w:val="22"/>
          <w:lang w:val="en-AU"/>
        </w:rPr>
        <w:fldChar w:fldCharType="begin">
          <w:fldData xml:space="preserve">PEVuZE5vdGU+PENpdGU+PEF1dGhvcj5MZWU8L0F1dGhvcj48WWVhcj4yMDA4PC9ZZWFyPjxSZWNO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</w:fldData>
        </w:fldChar>
      </w:r>
      <w:r w:rsidR="00A4255F">
        <w:rPr>
          <w:rFonts w:asciiTheme="minorHAnsi" w:hAnsiTheme="minorHAnsi" w:cstheme="minorHAnsi"/>
          <w:noProof/>
          <w:color w:val="000000" w:themeColor="text1"/>
          <w:sz w:val="22"/>
          <w:szCs w:val="22"/>
          <w:lang w:val="en-AU"/>
        </w:rPr>
        <w:instrText xml:space="preserve"> ADDIN EN.CITE.DATA </w:instrText>
      </w:r>
      <w:r w:rsidR="00A4255F">
        <w:rPr>
          <w:rFonts w:asciiTheme="minorHAnsi" w:hAnsiTheme="minorHAnsi" w:cstheme="minorHAnsi"/>
          <w:noProof/>
          <w:color w:val="000000" w:themeColor="text1"/>
          <w:sz w:val="22"/>
          <w:szCs w:val="22"/>
          <w:lang w:val="en-AU"/>
        </w:rPr>
      </w:r>
      <w:r w:rsidR="00A4255F">
        <w:rPr>
          <w:rFonts w:asciiTheme="minorHAnsi" w:hAnsiTheme="minorHAnsi" w:cstheme="minorHAnsi"/>
          <w:noProof/>
          <w:color w:val="000000" w:themeColor="text1"/>
          <w:sz w:val="22"/>
          <w:szCs w:val="22"/>
          <w:lang w:val="en-AU"/>
        </w:rPr>
        <w:fldChar w:fldCharType="end"/>
      </w:r>
      <w:r>
        <w:rPr>
          <w:rFonts w:asciiTheme="minorHAnsi" w:hAnsiTheme="minorHAnsi" w:cstheme="minorHAnsi"/>
          <w:noProof/>
          <w:color w:val="000000" w:themeColor="text1"/>
          <w:sz w:val="22"/>
          <w:szCs w:val="22"/>
          <w:lang w:val="en-AU"/>
        </w:rPr>
      </w:r>
      <w:r>
        <w:rPr>
          <w:rFonts w:asciiTheme="minorHAnsi" w:hAnsiTheme="minorHAnsi" w:cstheme="minorHAnsi"/>
          <w:noProof/>
          <w:color w:val="000000" w:themeColor="text1"/>
          <w:sz w:val="22"/>
          <w:szCs w:val="22"/>
          <w:lang w:val="en-AU"/>
        </w:rPr>
        <w:fldChar w:fldCharType="separate"/>
      </w:r>
      <w:r w:rsidR="00A4255F">
        <w:rPr>
          <w:rFonts w:asciiTheme="minorHAnsi" w:hAnsiTheme="minorHAnsi" w:cstheme="minorHAnsi"/>
          <w:noProof/>
          <w:color w:val="000000" w:themeColor="text1"/>
          <w:sz w:val="22"/>
          <w:szCs w:val="22"/>
          <w:lang w:val="en-AU"/>
        </w:rPr>
        <w:t>(4)</w:t>
      </w:r>
      <w:r>
        <w:rPr>
          <w:rFonts w:asciiTheme="minorHAnsi" w:hAnsiTheme="minorHAnsi" w:cstheme="minorHAnsi"/>
          <w:noProof/>
          <w:color w:val="000000" w:themeColor="text1"/>
          <w:sz w:val="22"/>
          <w:szCs w:val="22"/>
          <w:lang w:val="en-AU"/>
        </w:rPr>
        <w:fldChar w:fldCharType="end"/>
      </w:r>
      <w:r w:rsidRPr="003F41FF">
        <w:rPr>
          <w:rFonts w:asciiTheme="minorHAnsi" w:hAnsiTheme="minorHAnsi" w:cstheme="minorHAnsi"/>
          <w:noProof/>
          <w:color w:val="000000" w:themeColor="text1"/>
          <w:sz w:val="22"/>
          <w:szCs w:val="22"/>
          <w:lang w:val="en-AU"/>
        </w:rPr>
        <w:t>:</w:t>
      </w:r>
    </w:p>
    <w:p w14:paraId="105A5D2E" w14:textId="77777777" w:rsidR="00457F3C" w:rsidRPr="003F41FF" w:rsidRDefault="00457F3C" w:rsidP="00457F3C">
      <w:pPr>
        <w:pStyle w:val="Default"/>
        <w:spacing w:line="276" w:lineRule="auto"/>
        <w:jc w:val="both"/>
        <w:rPr>
          <w:rFonts w:asciiTheme="minorHAnsi" w:hAnsiTheme="minorHAnsi" w:cstheme="minorHAnsi"/>
          <w:noProof/>
          <w:color w:val="000000" w:themeColor="text1"/>
          <w:sz w:val="22"/>
          <w:szCs w:val="22"/>
          <w:lang w:val="en-AU"/>
        </w:rPr>
      </w:pPr>
    </w:p>
    <w:p w14:paraId="75B55D70" w14:textId="77777777" w:rsidR="00457F3C" w:rsidRPr="003F41FF" w:rsidRDefault="00457F3C" w:rsidP="00457F3C">
      <w:pPr>
        <w:spacing w:line="360" w:lineRule="auto"/>
        <w:ind w:left="720"/>
        <w:jc w:val="center"/>
        <w:rPr>
          <w:rFonts w:asciiTheme="minorHAnsi" w:hAnsiTheme="minorHAnsi" w:cstheme="minorHAnsi"/>
          <w:noProof/>
          <w:color w:val="000000" w:themeColor="text1"/>
          <w:lang w:val="en-AU"/>
        </w:rPr>
      </w:pPr>
      <w:r w:rsidRPr="003F41FF">
        <w:rPr>
          <w:rFonts w:asciiTheme="minorHAnsi" w:hAnsiTheme="minorHAnsi"/>
          <w:color w:val="000000" w:themeColor="text1"/>
          <w:lang w:val="en-AU"/>
        </w:rPr>
        <w:t xml:space="preserve">Haematocrit (ht) = 5.62 + 2.60 * Haemoglobin     </w:t>
      </w:r>
      <w:r w:rsidRPr="003F41FF">
        <w:rPr>
          <w:rFonts w:asciiTheme="minorHAnsi" w:hAnsiTheme="minorHAnsi"/>
          <w:color w:val="000000" w:themeColor="text1"/>
          <w:lang w:val="en-AU"/>
        </w:rPr>
        <w:tab/>
        <w:t xml:space="preserve"> </w:t>
      </w:r>
    </w:p>
    <w:p w14:paraId="0C4DF767" w14:textId="77777777" w:rsidR="00457F3C" w:rsidRPr="003F41FF" w:rsidRDefault="00457F3C" w:rsidP="00457F3C">
      <w:pPr>
        <w:rPr>
          <w:rFonts w:asciiTheme="minorHAnsi" w:hAnsiTheme="minorHAnsi" w:cstheme="minorHAnsi"/>
          <w:noProof/>
          <w:color w:val="000000" w:themeColor="text1"/>
          <w:lang w:val="en-AU"/>
        </w:rPr>
      </w:pPr>
      <w:r w:rsidRPr="003F41FF">
        <w:rPr>
          <w:rFonts w:asciiTheme="minorHAnsi" w:hAnsiTheme="minorHAnsi" w:cstheme="minorHAnsi"/>
          <w:noProof/>
          <w:color w:val="000000" w:themeColor="text1"/>
          <w:lang w:val="en-AU"/>
        </w:rPr>
        <w:t xml:space="preserve">For each study, locations of study sites will be recorded. Each location will be categorised into: </w:t>
      </w:r>
    </w:p>
    <w:p w14:paraId="2618E670" w14:textId="3E645FF0" w:rsidR="00457F3C" w:rsidRPr="003F41FF" w:rsidRDefault="006C750B" w:rsidP="00457F3C">
      <w:pPr>
        <w:pStyle w:val="ListParagraph"/>
        <w:numPr>
          <w:ilvl w:val="0"/>
          <w:numId w:val="7"/>
        </w:numPr>
        <w:spacing w:after="0"/>
        <w:rPr>
          <w:rFonts w:asciiTheme="minorHAnsi" w:hAnsiTheme="minorHAnsi" w:cstheme="minorHAnsi"/>
          <w:noProof/>
          <w:color w:val="000000" w:themeColor="text1"/>
        </w:rPr>
      </w:pPr>
      <w:r>
        <w:rPr>
          <w:rFonts w:asciiTheme="minorHAnsi" w:hAnsiTheme="minorHAnsi" w:cstheme="minorHAnsi"/>
          <w:i/>
          <w:noProof/>
          <w:color w:val="000000" w:themeColor="text1"/>
        </w:rPr>
        <w:t>L</w:t>
      </w:r>
      <w:r w:rsidR="00457F3C" w:rsidRPr="003F41FF">
        <w:rPr>
          <w:rFonts w:asciiTheme="minorHAnsi" w:hAnsiTheme="minorHAnsi" w:cstheme="minorHAnsi"/>
          <w:i/>
          <w:noProof/>
          <w:color w:val="000000" w:themeColor="text1"/>
        </w:rPr>
        <w:t>ow, moderate and high transmission settings</w:t>
      </w:r>
      <w:r w:rsidR="00457F3C" w:rsidRPr="003F41FF">
        <w:rPr>
          <w:rFonts w:asciiTheme="minorHAnsi" w:hAnsiTheme="minorHAnsi" w:cstheme="minorHAnsi"/>
          <w:noProof/>
          <w:color w:val="000000" w:themeColor="text1"/>
        </w:rPr>
        <w:t xml:space="preserve"> based on the </w:t>
      </w:r>
      <w:r w:rsidR="00457F3C" w:rsidRPr="003F41FF">
        <w:rPr>
          <w:rStyle w:val="Strong"/>
          <w:rFonts w:asciiTheme="minorHAnsi" w:hAnsiTheme="minorHAnsi"/>
          <w:noProof/>
          <w:color w:val="000000" w:themeColor="text1"/>
        </w:rPr>
        <w:t xml:space="preserve">observed study site reinfection rate , and the </w:t>
      </w:r>
      <w:r w:rsidR="00457F3C" w:rsidRPr="003F41FF">
        <w:rPr>
          <w:rFonts w:asciiTheme="minorHAnsi" w:hAnsiTheme="minorHAnsi"/>
          <w:noProof/>
          <w:color w:val="000000" w:themeColor="text1"/>
        </w:rPr>
        <w:t>mal</w:t>
      </w:r>
      <w:r w:rsidR="00457F3C" w:rsidRPr="006C750B">
        <w:rPr>
          <w:rFonts w:asciiTheme="minorHAnsi" w:hAnsiTheme="minorHAnsi"/>
          <w:noProof/>
          <w:color w:val="000000" w:themeColor="text1"/>
        </w:rPr>
        <w:t xml:space="preserve">aria endemicity estimates obtained for study sites and year from the Malaria Atlas Project </w:t>
      </w:r>
      <w:r w:rsidR="00457F3C" w:rsidRPr="006C750B">
        <w:rPr>
          <w:rFonts w:asciiTheme="minorHAnsi" w:hAnsiTheme="minorHAnsi"/>
          <w:noProof/>
          <w:color w:val="000000" w:themeColor="text1"/>
        </w:rPr>
        <w:fldChar w:fldCharType="begin">
          <w:fldData xml:space="preserve">PEVuZE5vdGU+PENpdGU+PEF1dGhvcj5HZXRoaW5nPC9BdXRob3I+PFllYXI+MjAxMjwvWWVhcj48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</w:fldData>
        </w:fldChar>
      </w:r>
      <w:r w:rsidR="00A4255F" w:rsidRPr="006C750B">
        <w:rPr>
          <w:rFonts w:asciiTheme="minorHAnsi" w:hAnsiTheme="minorHAnsi"/>
          <w:noProof/>
          <w:color w:val="000000" w:themeColor="text1"/>
        </w:rPr>
        <w:instrText xml:space="preserve"> ADDIN EN.CITE </w:instrText>
      </w:r>
      <w:r w:rsidR="00A4255F" w:rsidRPr="006C750B">
        <w:rPr>
          <w:rFonts w:asciiTheme="minorHAnsi" w:hAnsiTheme="minorHAnsi"/>
          <w:noProof/>
          <w:color w:val="000000" w:themeColor="text1"/>
        </w:rPr>
        <w:fldChar w:fldCharType="begin">
          <w:fldData xml:space="preserve">PEVuZE5vdGU+PENpdGU+PEF1dGhvcj5HZXRoaW5nPC9BdXRob3I+PFllYXI+MjAxMjwvWWVhcj48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</w:fldData>
        </w:fldChar>
      </w:r>
      <w:r w:rsidR="00A4255F" w:rsidRPr="006C750B">
        <w:rPr>
          <w:rFonts w:asciiTheme="minorHAnsi" w:hAnsiTheme="minorHAnsi"/>
          <w:noProof/>
          <w:color w:val="000000" w:themeColor="text1"/>
        </w:rPr>
        <w:instrText xml:space="preserve"> ADDIN EN.CITE.DATA </w:instrText>
      </w:r>
      <w:r w:rsidR="00A4255F" w:rsidRPr="006C750B">
        <w:rPr>
          <w:rFonts w:asciiTheme="minorHAnsi" w:hAnsiTheme="minorHAnsi"/>
          <w:noProof/>
          <w:color w:val="000000" w:themeColor="text1"/>
        </w:rPr>
      </w:r>
      <w:r w:rsidR="00A4255F" w:rsidRPr="006C750B">
        <w:rPr>
          <w:rFonts w:asciiTheme="minorHAnsi" w:hAnsiTheme="minorHAnsi"/>
          <w:noProof/>
          <w:color w:val="000000" w:themeColor="text1"/>
        </w:rPr>
        <w:fldChar w:fldCharType="end"/>
      </w:r>
      <w:r w:rsidR="00457F3C" w:rsidRPr="006C750B">
        <w:rPr>
          <w:rFonts w:asciiTheme="minorHAnsi" w:hAnsiTheme="minorHAnsi"/>
          <w:noProof/>
          <w:color w:val="000000" w:themeColor="text1"/>
        </w:rPr>
      </w:r>
      <w:r w:rsidR="00457F3C" w:rsidRPr="006C750B">
        <w:rPr>
          <w:rFonts w:asciiTheme="minorHAnsi" w:hAnsiTheme="minorHAnsi"/>
          <w:noProof/>
          <w:color w:val="000000" w:themeColor="text1"/>
        </w:rPr>
        <w:fldChar w:fldCharType="separate"/>
      </w:r>
      <w:r w:rsidR="00A4255F" w:rsidRPr="006C750B">
        <w:rPr>
          <w:rFonts w:asciiTheme="minorHAnsi" w:hAnsiTheme="minorHAnsi"/>
          <w:noProof/>
          <w:color w:val="000000" w:themeColor="text1"/>
        </w:rPr>
        <w:t>(6)</w:t>
      </w:r>
      <w:r w:rsidR="00457F3C" w:rsidRPr="006C750B">
        <w:rPr>
          <w:rFonts w:asciiTheme="minorHAnsi" w:hAnsiTheme="minorHAnsi"/>
          <w:noProof/>
          <w:color w:val="000000" w:themeColor="text1"/>
        </w:rPr>
        <w:fldChar w:fldCharType="end"/>
      </w:r>
      <w:r w:rsidR="00457F3C" w:rsidRPr="006C750B">
        <w:rPr>
          <w:rFonts w:asciiTheme="minorHAnsi" w:hAnsiTheme="minorHAnsi"/>
          <w:noProof/>
          <w:color w:val="000000" w:themeColor="text1"/>
        </w:rPr>
        <w:t xml:space="preserve">. </w:t>
      </w:r>
      <w:r w:rsidR="00457F3C" w:rsidRPr="006C750B">
        <w:rPr>
          <w:rFonts w:asciiTheme="minorHAnsi" w:hAnsiTheme="minorHAnsi"/>
        </w:rPr>
        <w:t xml:space="preserve">PvPR </w:t>
      </w:r>
      <m:oMath>
        <m:r>
          <m:rPr>
            <m:sty m:val="p"/>
          </m:rPr>
          <w:rPr>
            <w:rFonts w:ascii="Cambria Math" w:hAnsi="Cambria Math"/>
          </w:rPr>
          <m:t>&lt;0.015</m:t>
        </m:r>
      </m:oMath>
      <w:r w:rsidR="00457F3C" w:rsidRPr="006C750B">
        <w:rPr>
          <w:rFonts w:asciiTheme="minorHAnsi" w:hAnsiTheme="minorHAnsi"/>
        </w:rPr>
        <w:t xml:space="preserve"> will be categorized</w:t>
      </w:r>
      <w:r w:rsidR="005B368D" w:rsidRPr="006C750B">
        <w:rPr>
          <w:rFonts w:asciiTheme="minorHAnsi" w:hAnsiTheme="minorHAnsi"/>
        </w:rPr>
        <w:t xml:space="preserve"> as “low” transmission areas, Pv</w:t>
      </w:r>
      <w:r w:rsidR="00457F3C" w:rsidRPr="006C750B">
        <w:rPr>
          <w:rFonts w:asciiTheme="minorHAnsi" w:hAnsiTheme="minorHAnsi"/>
        </w:rPr>
        <w:t xml:space="preserve">PR </w:t>
      </w:r>
      <m:oMath>
        <m:r>
          <m:rPr>
            <m:sty m:val="p"/>
          </m:rPr>
          <w:rPr>
            <w:rFonts w:ascii="Cambria Math" w:hAnsi="Cambria Math"/>
          </w:rPr>
          <m:t>≥0.015</m:t>
        </m:r>
      </m:oMath>
      <w:r w:rsidR="00457F3C" w:rsidRPr="006C750B">
        <w:rPr>
          <w:rFonts w:asciiTheme="minorHAnsi" w:hAnsiTheme="minorHAnsi"/>
        </w:rPr>
        <w:t xml:space="preserve"> &amp; </w:t>
      </w:r>
      <m:oMath>
        <m:r>
          <m:rPr>
            <m:sty m:val="p"/>
          </m:rPr>
          <w:rPr>
            <w:rFonts w:ascii="Cambria Math" w:hAnsi="Cambria Math"/>
          </w:rPr>
          <m:t xml:space="preserve">&lt;0.040 </m:t>
        </m:r>
      </m:oMath>
      <w:r w:rsidR="00457F3C" w:rsidRPr="006C750B">
        <w:rPr>
          <w:rFonts w:asciiTheme="minorHAnsi" w:hAnsiTheme="minorHAnsi"/>
        </w:rPr>
        <w:t>were classified as “mode</w:t>
      </w:r>
      <w:r w:rsidR="005B368D" w:rsidRPr="006C750B">
        <w:rPr>
          <w:rFonts w:asciiTheme="minorHAnsi" w:hAnsiTheme="minorHAnsi"/>
        </w:rPr>
        <w:t>rate” transmission areas, and Pv</w:t>
      </w:r>
      <w:r w:rsidR="00457F3C" w:rsidRPr="006C750B">
        <w:rPr>
          <w:rFonts w:asciiTheme="minorHAnsi" w:hAnsiTheme="minorHAnsi"/>
        </w:rPr>
        <w:t xml:space="preserve">PR </w:t>
      </w:r>
      <m:oMath>
        <m:r>
          <m:rPr>
            <m:sty m:val="p"/>
          </m:rPr>
          <w:rPr>
            <w:rFonts w:ascii="Cambria Math" w:hAnsi="Cambria Math"/>
          </w:rPr>
          <m:t xml:space="preserve">≥0.040 </m:t>
        </m:r>
      </m:oMath>
      <w:r w:rsidR="00457F3C" w:rsidRPr="006C750B">
        <w:rPr>
          <w:rFonts w:asciiTheme="minorHAnsi" w:hAnsiTheme="minorHAnsi"/>
        </w:rPr>
        <w:t>were classified as “high” transmission areas.</w:t>
      </w:r>
    </w:p>
    <w:p w14:paraId="244D1D1F" w14:textId="3502B325" w:rsidR="00457F3C" w:rsidRPr="003F41FF" w:rsidRDefault="006C750B" w:rsidP="00457F3C">
      <w:pPr>
        <w:pStyle w:val="ListParagraph"/>
        <w:numPr>
          <w:ilvl w:val="0"/>
          <w:numId w:val="7"/>
        </w:numPr>
        <w:spacing w:after="0"/>
        <w:rPr>
          <w:rFonts w:asciiTheme="minorHAnsi" w:hAnsiTheme="minorHAnsi" w:cstheme="minorHAnsi"/>
          <w:noProof/>
          <w:color w:val="000000" w:themeColor="text1"/>
        </w:rPr>
      </w:pPr>
      <w:r>
        <w:rPr>
          <w:rFonts w:asciiTheme="minorHAnsi" w:hAnsiTheme="minorHAnsi" w:cstheme="minorHAnsi"/>
          <w:i/>
          <w:noProof/>
          <w:color w:val="000000" w:themeColor="text1"/>
        </w:rPr>
        <w:t xml:space="preserve">Low (long) </w:t>
      </w:r>
      <w:r w:rsidR="00457F3C" w:rsidRPr="003F41FF">
        <w:rPr>
          <w:rFonts w:asciiTheme="minorHAnsi" w:hAnsiTheme="minorHAnsi" w:cstheme="minorHAnsi"/>
          <w:i/>
          <w:noProof/>
          <w:color w:val="000000" w:themeColor="text1"/>
        </w:rPr>
        <w:t>and hig</w:t>
      </w:r>
      <w:r>
        <w:rPr>
          <w:rFonts w:asciiTheme="minorHAnsi" w:hAnsiTheme="minorHAnsi" w:cstheme="minorHAnsi"/>
          <w:i/>
          <w:noProof/>
          <w:color w:val="000000" w:themeColor="text1"/>
        </w:rPr>
        <w:t>h (short)</w:t>
      </w:r>
      <w:r w:rsidR="00457F3C" w:rsidRPr="003F41FF">
        <w:rPr>
          <w:rFonts w:asciiTheme="minorHAnsi" w:hAnsiTheme="minorHAnsi" w:cstheme="minorHAnsi"/>
          <w:i/>
          <w:noProof/>
          <w:color w:val="000000" w:themeColor="text1"/>
        </w:rPr>
        <w:t xml:space="preserve"> periodicity</w:t>
      </w:r>
      <w:r w:rsidR="00457F3C" w:rsidRPr="003F41FF">
        <w:rPr>
          <w:rFonts w:asciiTheme="minorHAnsi" w:hAnsiTheme="minorHAnsi" w:cstheme="minorHAnsi"/>
          <w:noProof/>
          <w:color w:val="000000" w:themeColor="text1"/>
        </w:rPr>
        <w:t xml:space="preserve"> </w:t>
      </w:r>
      <w:r w:rsidR="00457F3C" w:rsidRPr="003F41FF">
        <w:rPr>
          <w:rFonts w:asciiTheme="minorHAnsi" w:hAnsiTheme="minorHAnsi" w:cstheme="minorHAnsi"/>
          <w:i/>
          <w:noProof/>
          <w:color w:val="000000" w:themeColor="text1"/>
        </w:rPr>
        <w:t>of relapses</w:t>
      </w:r>
      <w:r w:rsidR="00457F3C" w:rsidRPr="003F41FF">
        <w:rPr>
          <w:rFonts w:asciiTheme="minorHAnsi" w:hAnsiTheme="minorHAnsi" w:cstheme="minorHAnsi"/>
          <w:noProof/>
          <w:color w:val="000000" w:themeColor="text1"/>
        </w:rPr>
        <w:t xml:space="preserve"> according to Battle’s regions </w:t>
      </w:r>
      <w:r w:rsidR="00457F3C">
        <w:rPr>
          <w:rFonts w:asciiTheme="minorHAnsi" w:hAnsiTheme="minorHAnsi" w:cstheme="minorHAnsi"/>
          <w:noProof/>
          <w:color w:val="000000" w:themeColor="text1"/>
        </w:rPr>
        <w:fldChar w:fldCharType="begin"/>
      </w:r>
      <w:r w:rsidR="00A4255F">
        <w:rPr>
          <w:rFonts w:asciiTheme="minorHAnsi" w:hAnsiTheme="minorHAnsi" w:cstheme="minorHAnsi"/>
          <w:noProof/>
          <w:color w:val="000000" w:themeColor="text1"/>
        </w:rPr>
        <w:instrText xml:space="preserve"> ADDIN EN.CITE &lt;EndNote&gt;&lt;Cite&gt;&lt;Author&gt;Battle&lt;/Author&gt;&lt;Year&gt;2014&lt;/Year&gt;&lt;RecNum&gt;15&lt;/RecNum&gt;&lt;DisplayText&gt;(7)&lt;/DisplayText&gt;&lt;record&gt;&lt;rec-number&gt;15&lt;/rec-number&gt;&lt;foreign-keys&gt;&lt;key app="EN" db-id="zrz59pvfoxvewle2ee8xrwt2292evzwdsrse" timestamp="0"&gt;15&lt;/key&gt;&lt;/foreign-keys&gt;&lt;ref-type name="Journal Article"&gt;17&lt;/ref-type&gt;&lt;contributors&gt;&lt;authors&gt;&lt;author&gt;Battle, K. E.&lt;/author&gt;&lt;author&gt;Karhunen, M. S.&lt;/author&gt;&lt;author&gt;Bhatt, S.&lt;/author&gt;&lt;author&gt;Gething, P. W.&lt;/author&gt;&lt;author&gt;Howes, R. E.&lt;/author&gt;&lt;author&gt;Golding, N.&lt;/author&gt;&lt;author&gt;Van Boeckel, T. P.&lt;/author&gt;&lt;author&gt;Messina, J. P.&lt;/author&gt;&lt;author&gt;Shanks, G. D.&lt;/author&gt;&lt;author&gt;Smith, D. L.&lt;/author&gt;&lt;author&gt;Baird, J. K.&lt;/author&gt;&lt;author&gt;Hay, S. I.&lt;/author&gt;&lt;/authors&gt;&lt;/contributors&gt;&lt;auth-address&gt;Department of Zoology, Spatial Ecology and Epidemiology Group, Tinbergen Building, University of Oxford, South Parks Road, Oxford, UK. katherine.battle@zoo.ox.ac.uk.&lt;/auth-address&gt;&lt;titles&gt;&lt;title&gt;Geographical variation in Plasmodium vivax relapse&lt;/title&gt;&lt;secondary-title&gt;Malar J&lt;/secondary-title&gt;&lt;alt-title&gt;Malaria journal&lt;/alt-title&gt;&lt;/titles&gt;&lt;periodical&gt;&lt;full-title&gt;Malar J&lt;/full-title&gt;&lt;/periodical&gt;&lt;pages&gt;144&lt;/pages&gt;&lt;volume&gt;13&lt;/volume&gt;&lt;keywords&gt;&lt;keyword&gt;Geography&lt;/keyword&gt;&lt;keyword&gt;Humans&lt;/keyword&gt;&lt;keyword&gt;Incidence&lt;/keyword&gt;&lt;keyword&gt;Malaria, Vivax/*epidemiology/parasitology&lt;/keyword&gt;&lt;keyword&gt;*Periodicity&lt;/keyword&gt;&lt;keyword&gt;Plasmodium vivax/*physiology&lt;/keyword&gt;&lt;keyword&gt;Recurrence&lt;/keyword&gt;&lt;/keywords&gt;&lt;dates&gt;&lt;year&gt;2014&lt;/year&gt;&lt;/dates&gt;&lt;isbn&gt;1475-2875 (Electronic)&amp;#xD;1475-2875 (Linking)&lt;/isbn&gt;&lt;accession-num&gt;24731298&lt;/accession-num&gt;&lt;urls&gt;&lt;related-urls&gt;&lt;url&gt;http://www.ncbi.nlm.nih.gov/pubmed/24731298&lt;/url&gt;&lt;/related-urls&gt;&lt;/urls&gt;&lt;custom2&gt;4021508&lt;/custom2&gt;&lt;electronic-resource-num&gt;10.1186/1475-2875-13-144&lt;/electronic-resource-num&gt;&lt;/record&gt;&lt;/Cite&gt;&lt;/EndNote&gt;</w:instrText>
      </w:r>
      <w:r w:rsidR="00457F3C">
        <w:rPr>
          <w:rFonts w:asciiTheme="minorHAnsi" w:hAnsiTheme="minorHAnsi" w:cstheme="minorHAnsi"/>
          <w:noProof/>
          <w:color w:val="000000" w:themeColor="text1"/>
        </w:rPr>
        <w:fldChar w:fldCharType="separate"/>
      </w:r>
      <w:r w:rsidR="00A4255F">
        <w:rPr>
          <w:rFonts w:asciiTheme="minorHAnsi" w:hAnsiTheme="minorHAnsi" w:cstheme="minorHAnsi"/>
          <w:noProof/>
          <w:color w:val="000000" w:themeColor="text1"/>
        </w:rPr>
        <w:t>(7)</w:t>
      </w:r>
      <w:r w:rsidR="00457F3C">
        <w:rPr>
          <w:rFonts w:asciiTheme="minorHAnsi" w:hAnsiTheme="minorHAnsi" w:cstheme="minorHAnsi"/>
          <w:noProof/>
          <w:color w:val="000000" w:themeColor="text1"/>
        </w:rPr>
        <w:fldChar w:fldCharType="end"/>
      </w:r>
      <w:r>
        <w:rPr>
          <w:rFonts w:asciiTheme="minorHAnsi" w:hAnsiTheme="minorHAnsi" w:cstheme="minorHAnsi"/>
          <w:noProof/>
          <w:color w:val="000000" w:themeColor="text1"/>
        </w:rPr>
        <w:t xml:space="preserve">, with high periodicity considered to include regions where the median periodicity was </w:t>
      </w:r>
      <w:r>
        <w:rPr>
          <w:rFonts w:cstheme="minorHAnsi"/>
          <w:noProof/>
          <w:color w:val="000000" w:themeColor="text1"/>
        </w:rPr>
        <w:t>≤</w:t>
      </w:r>
      <w:r>
        <w:rPr>
          <w:rFonts w:asciiTheme="minorHAnsi" w:hAnsiTheme="minorHAnsi" w:cstheme="minorHAnsi"/>
          <w:noProof/>
          <w:color w:val="000000" w:themeColor="text1"/>
        </w:rPr>
        <w:t xml:space="preserve">42 days. Thus regions with the two highest periodicities (region 10 and 12) where the median periodicity is </w:t>
      </w:r>
      <w:r>
        <w:rPr>
          <w:rFonts w:cstheme="minorHAnsi"/>
          <w:noProof/>
          <w:color w:val="000000" w:themeColor="text1"/>
        </w:rPr>
        <w:t>&lt;</w:t>
      </w:r>
      <w:r>
        <w:rPr>
          <w:rFonts w:asciiTheme="minorHAnsi" w:hAnsiTheme="minorHAnsi" w:cstheme="minorHAnsi"/>
          <w:noProof/>
          <w:color w:val="000000" w:themeColor="text1"/>
        </w:rPr>
        <w:t xml:space="preserve">47 days will be categorised as “high” and others will be categorised as “low”. </w:t>
      </w:r>
    </w:p>
    <w:p w14:paraId="3D62FE36" w14:textId="68F17407" w:rsidR="00457F3C" w:rsidRPr="000E32A1" w:rsidRDefault="00457F3C" w:rsidP="000E32A1">
      <w:pPr>
        <w:spacing w:after="0"/>
        <w:rPr>
          <w:rFonts w:asciiTheme="minorHAnsi" w:hAnsiTheme="minorHAnsi" w:cstheme="minorHAnsi"/>
          <w:noProof/>
          <w:color w:val="000000" w:themeColor="text1"/>
        </w:rPr>
      </w:pPr>
    </w:p>
    <w:p w14:paraId="19BF3031" w14:textId="77777777" w:rsidR="00457F3C" w:rsidRPr="003F41FF" w:rsidRDefault="00457F3C" w:rsidP="00457F3C">
      <w:pPr>
        <w:rPr>
          <w:rStyle w:val="Strong"/>
          <w:rFonts w:asciiTheme="minorHAnsi" w:hAnsiTheme="minorHAnsi"/>
          <w:noProof/>
          <w:color w:val="000000" w:themeColor="text1"/>
          <w:lang w:val="en-AU"/>
        </w:rPr>
      </w:pPr>
    </w:p>
    <w:p w14:paraId="56A881B8" w14:textId="77777777" w:rsidR="00457F3C" w:rsidRPr="003F41FF" w:rsidRDefault="00457F3C" w:rsidP="00457F3C">
      <w:pPr>
        <w:rPr>
          <w:rStyle w:val="Strong"/>
          <w:noProof/>
          <w:color w:val="000000" w:themeColor="text1"/>
          <w:lang w:val="en-AU"/>
        </w:rPr>
      </w:pPr>
    </w:p>
    <w:p w14:paraId="19855958" w14:textId="77777777" w:rsidR="00457F3C" w:rsidRPr="003F41FF" w:rsidRDefault="00457F3C" w:rsidP="00457F3C">
      <w:pPr>
        <w:pStyle w:val="Heading2"/>
        <w:rPr>
          <w:rFonts w:asciiTheme="majorHAnsi" w:hAnsiTheme="majorHAnsi"/>
          <w:color w:val="2E74B5" w:themeColor="accent1" w:themeShade="BF"/>
          <w:sz w:val="26"/>
        </w:rPr>
      </w:pPr>
      <w:bookmarkStart w:id="27" w:name="_Toc457660149"/>
      <w:bookmarkStart w:id="28" w:name="_Toc461542561"/>
      <w:r w:rsidRPr="003F41FF">
        <w:rPr>
          <w:rStyle w:val="Strong"/>
          <w:rFonts w:asciiTheme="majorHAnsi" w:hAnsiTheme="majorHAnsi"/>
          <w:color w:val="2E74B5" w:themeColor="accent1" w:themeShade="BF"/>
          <w:sz w:val="26"/>
        </w:rPr>
        <w:t>2.5 Summary of statistical analyses</w:t>
      </w:r>
      <w:bookmarkEnd w:id="27"/>
      <w:bookmarkEnd w:id="28"/>
    </w:p>
    <w:p w14:paraId="2BC15538" w14:textId="77777777" w:rsidR="00457F3C" w:rsidRPr="0041682F" w:rsidRDefault="00457F3C" w:rsidP="00457F3C">
      <w:pPr>
        <w:rPr>
          <w:rFonts w:asciiTheme="minorHAnsi" w:hAnsiTheme="minorHAnsi" w:cstheme="minorHAnsi"/>
          <w:b/>
          <w:i/>
          <w:color w:val="000000" w:themeColor="text1"/>
          <w:lang w:val="en-AU"/>
        </w:rPr>
      </w:pPr>
      <w:r w:rsidRPr="0041682F">
        <w:rPr>
          <w:rFonts w:asciiTheme="minorHAnsi" w:hAnsiTheme="minorHAnsi" w:cstheme="minorHAnsi"/>
          <w:b/>
          <w:i/>
          <w:color w:val="000000" w:themeColor="text1"/>
          <w:lang w:val="en-AU"/>
        </w:rPr>
        <w:t>2.5.1 Description and baseline characteristics of study sample:</w:t>
      </w:r>
    </w:p>
    <w:p w14:paraId="32EF0D6D" w14:textId="77777777" w:rsidR="00457F3C" w:rsidRPr="003F41FF" w:rsidRDefault="00457F3C" w:rsidP="00457F3C">
      <w:pPr>
        <w:pStyle w:val="ListParagraph"/>
        <w:numPr>
          <w:ilvl w:val="1"/>
          <w:numId w:val="8"/>
        </w:numPr>
        <w:ind w:left="709" w:hanging="425"/>
        <w:jc w:val="both"/>
        <w:rPr>
          <w:rFonts w:asciiTheme="minorHAnsi" w:hAnsiTheme="minorHAnsi" w:cstheme="minorHAnsi"/>
          <w:color w:val="000000" w:themeColor="text1"/>
        </w:rPr>
      </w:pPr>
      <w:r w:rsidRPr="003F41FF">
        <w:rPr>
          <w:rFonts w:asciiTheme="minorHAnsi" w:hAnsiTheme="minorHAnsi" w:cstheme="minorHAnsi"/>
          <w:color w:val="000000" w:themeColor="text1"/>
        </w:rPr>
        <w:t>A summary (study profile) of the relevant trials uploaded to the WWARN repository will be presented to highlight potential selection bias.</w:t>
      </w:r>
    </w:p>
    <w:p w14:paraId="17E2DE66" w14:textId="77777777" w:rsidR="00457F3C" w:rsidRPr="003F41FF" w:rsidRDefault="00457F3C" w:rsidP="00457F3C">
      <w:pPr>
        <w:pStyle w:val="ListParagraph"/>
        <w:ind w:left="709"/>
        <w:jc w:val="both"/>
        <w:rPr>
          <w:rFonts w:asciiTheme="minorHAnsi" w:hAnsiTheme="minorHAnsi" w:cstheme="minorHAnsi"/>
          <w:color w:val="000000" w:themeColor="text1"/>
        </w:rPr>
      </w:pPr>
    </w:p>
    <w:p w14:paraId="757AB3B0" w14:textId="31D585F7" w:rsidR="00457F3C" w:rsidRDefault="00457F3C" w:rsidP="00457F3C">
      <w:pPr>
        <w:pStyle w:val="ListParagraph"/>
        <w:numPr>
          <w:ilvl w:val="1"/>
          <w:numId w:val="8"/>
        </w:numPr>
        <w:ind w:left="709" w:hanging="425"/>
        <w:jc w:val="both"/>
        <w:rPr>
          <w:rFonts w:asciiTheme="minorHAnsi" w:hAnsiTheme="minorHAnsi" w:cstheme="minorHAnsi"/>
          <w:color w:val="000000" w:themeColor="text1"/>
        </w:rPr>
      </w:pPr>
      <w:r w:rsidRPr="003F41FF">
        <w:rPr>
          <w:rFonts w:asciiTheme="minorHAnsi" w:hAnsiTheme="minorHAnsi" w:cstheme="minorHAnsi"/>
          <w:color w:val="000000" w:themeColor="text1"/>
        </w:rPr>
        <w:t xml:space="preserve">A summary of the relevant studies will be presented, including (but not restricted to) treatment tested, inclusion and exclusion criteria, follow up duration, study populations, parasitaemia sampling scheme and description of location by country, transmission site(s), regional relapse periodicity and chloroquine resistance. Tests of statistical significance will </w:t>
      </w:r>
      <w:r w:rsidRPr="003F41FF">
        <w:rPr>
          <w:rFonts w:asciiTheme="minorHAnsi" w:hAnsiTheme="minorHAnsi" w:cstheme="minorHAnsi"/>
          <w:color w:val="000000" w:themeColor="text1"/>
        </w:rPr>
        <w:lastRenderedPageBreak/>
        <w:t xml:space="preserve">not be undertaken for baseline characteristics; rather the clinical importance of any </w:t>
      </w:r>
      <w:r w:rsidR="0024613E">
        <w:rPr>
          <w:rFonts w:asciiTheme="minorHAnsi" w:hAnsiTheme="minorHAnsi" w:cstheme="minorHAnsi"/>
          <w:color w:val="000000" w:themeColor="text1"/>
        </w:rPr>
        <w:t>differences in the baseline distributions</w:t>
      </w:r>
      <w:r w:rsidRPr="003F41FF">
        <w:rPr>
          <w:rFonts w:asciiTheme="minorHAnsi" w:hAnsiTheme="minorHAnsi" w:cstheme="minorHAnsi"/>
          <w:color w:val="000000" w:themeColor="text1"/>
        </w:rPr>
        <w:t xml:space="preserve"> will be noted.</w:t>
      </w:r>
    </w:p>
    <w:p w14:paraId="10F28C4A" w14:textId="77777777" w:rsidR="00C62789" w:rsidRPr="00C62789" w:rsidRDefault="00C62789" w:rsidP="00C62789">
      <w:pPr>
        <w:jc w:val="both"/>
        <w:rPr>
          <w:rFonts w:asciiTheme="minorHAnsi" w:hAnsiTheme="minorHAnsi" w:cstheme="minorHAnsi"/>
          <w:color w:val="000000" w:themeColor="text1"/>
        </w:rPr>
      </w:pPr>
    </w:p>
    <w:p w14:paraId="7F4C4F75" w14:textId="0E9A60DB" w:rsidR="00457F3C" w:rsidRPr="00C62789" w:rsidRDefault="00457F3C" w:rsidP="00C62789">
      <w:pPr>
        <w:pStyle w:val="ListParagraph"/>
        <w:numPr>
          <w:ilvl w:val="2"/>
          <w:numId w:val="12"/>
        </w:numPr>
        <w:rPr>
          <w:rFonts w:asciiTheme="minorHAnsi" w:hAnsiTheme="minorHAnsi" w:cstheme="minorHAnsi"/>
          <w:b/>
          <w:i/>
          <w:color w:val="000000" w:themeColor="text1"/>
        </w:rPr>
      </w:pPr>
      <w:r w:rsidRPr="00C62789">
        <w:rPr>
          <w:rFonts w:asciiTheme="minorHAnsi" w:hAnsiTheme="minorHAnsi" w:cstheme="minorHAnsi"/>
          <w:b/>
          <w:i/>
          <w:color w:val="000000" w:themeColor="text1"/>
        </w:rPr>
        <w:t>Baseline characteristics of patients:</w:t>
      </w:r>
    </w:p>
    <w:p w14:paraId="3EB5E82D" w14:textId="77777777" w:rsidR="00C62789" w:rsidRDefault="00457F3C" w:rsidP="00C62789">
      <w:pPr>
        <w:pStyle w:val="ListParagraph"/>
        <w:numPr>
          <w:ilvl w:val="1"/>
          <w:numId w:val="8"/>
        </w:numPr>
        <w:spacing w:after="0"/>
        <w:rPr>
          <w:rFonts w:asciiTheme="minorHAnsi" w:hAnsiTheme="minorHAnsi" w:cstheme="minorHAnsi"/>
          <w:color w:val="000000" w:themeColor="text1"/>
        </w:rPr>
      </w:pPr>
      <w:r w:rsidRPr="003F41FF">
        <w:rPr>
          <w:rFonts w:asciiTheme="minorHAnsi" w:hAnsiTheme="minorHAnsi" w:cstheme="minorHAnsi"/>
          <w:color w:val="000000" w:themeColor="text1"/>
        </w:rPr>
        <w:t>A summary of relevant baseline patient characteristics will be presented including age, gender, malnutrition, treatment given, treatment supervision, timing of primaquine, G6PD status, haemoglobin</w:t>
      </w:r>
      <w:r w:rsidR="0096603A">
        <w:rPr>
          <w:rFonts w:asciiTheme="minorHAnsi" w:hAnsiTheme="minorHAnsi" w:cstheme="minorHAnsi"/>
          <w:color w:val="000000" w:themeColor="text1"/>
        </w:rPr>
        <w:t xml:space="preserve"> concentration</w:t>
      </w:r>
      <w:r w:rsidRPr="003F41FF">
        <w:rPr>
          <w:rFonts w:asciiTheme="minorHAnsi" w:hAnsiTheme="minorHAnsi" w:cstheme="minorHAnsi"/>
          <w:color w:val="000000" w:themeColor="text1"/>
        </w:rPr>
        <w:t>, asexual parasitaemia, gametocytaemia, temperature &gt;37.5</w:t>
      </w:r>
      <w:r w:rsidRPr="003F41FF">
        <w:rPr>
          <w:rFonts w:asciiTheme="minorHAnsi" w:hAnsiTheme="minorHAnsi" w:cstheme="minorHAnsi"/>
          <w:color w:val="000000" w:themeColor="text1"/>
        </w:rPr>
        <w:sym w:font="Symbol" w:char="F0B0"/>
      </w:r>
      <w:r w:rsidRPr="003F41FF">
        <w:rPr>
          <w:rFonts w:asciiTheme="minorHAnsi" w:hAnsiTheme="minorHAnsi" w:cstheme="minorHAnsi"/>
          <w:color w:val="000000" w:themeColor="text1"/>
        </w:rPr>
        <w:t>C, prior antimalarial use, prior malaria history.</w:t>
      </w:r>
    </w:p>
    <w:p w14:paraId="3F4D8BEA" w14:textId="77777777" w:rsidR="00C62789" w:rsidRDefault="00C62789" w:rsidP="00C62789">
      <w:pPr>
        <w:spacing w:after="0"/>
        <w:ind w:left="720"/>
        <w:rPr>
          <w:rFonts w:asciiTheme="minorHAnsi" w:hAnsiTheme="minorHAnsi"/>
          <w:color w:val="000000" w:themeColor="text1"/>
        </w:rPr>
      </w:pPr>
    </w:p>
    <w:p w14:paraId="1BEA4C30" w14:textId="6398E342" w:rsidR="00C62789" w:rsidRPr="00C62789" w:rsidRDefault="00C62789" w:rsidP="00C62789">
      <w:pPr>
        <w:spacing w:after="0"/>
        <w:ind w:left="720"/>
        <w:rPr>
          <w:rFonts w:asciiTheme="minorHAnsi" w:hAnsiTheme="minorHAnsi" w:cstheme="minorHAnsi"/>
          <w:color w:val="000000" w:themeColor="text1"/>
        </w:rPr>
      </w:pPr>
      <w:r w:rsidRPr="00C62789">
        <w:rPr>
          <w:rFonts w:asciiTheme="minorHAnsi" w:hAnsiTheme="minorHAnsi"/>
          <w:color w:val="000000" w:themeColor="text1"/>
        </w:rPr>
        <w:t xml:space="preserve">Summary statistics will be broken down by gender and age category. </w:t>
      </w:r>
      <w:r w:rsidRPr="00C62789">
        <w:rPr>
          <w:rFonts w:asciiTheme="minorHAnsi" w:hAnsiTheme="minorHAnsi"/>
          <w:noProof/>
          <w:color w:val="000000" w:themeColor="text1"/>
          <w:lang w:bidi="th-TH"/>
        </w:rPr>
        <w:t>The distribution of continuous variables (e.g. mg/kg total drug dose for each dosing group) will be described using the mean and standard deviation if the data are normally distributed, geometric mean and 95% reference range if the data are normally distributed following a log transformation, or the median and interquartile range if the data are non-normally distributed.</w:t>
      </w:r>
    </w:p>
    <w:p w14:paraId="2571DAF9" w14:textId="77777777" w:rsidR="00C62789" w:rsidRPr="003F41FF" w:rsidRDefault="00C62789" w:rsidP="00C62789">
      <w:pPr>
        <w:pStyle w:val="ListParagraph"/>
        <w:spacing w:after="0"/>
        <w:rPr>
          <w:rFonts w:asciiTheme="minorHAnsi" w:hAnsiTheme="minorHAnsi" w:cstheme="minorHAnsi"/>
          <w:color w:val="000000" w:themeColor="text1"/>
        </w:rPr>
      </w:pPr>
    </w:p>
    <w:p w14:paraId="39EB46A3" w14:textId="77777777" w:rsidR="00457F3C" w:rsidRPr="003F41FF" w:rsidRDefault="00457F3C" w:rsidP="00457F3C">
      <w:pPr>
        <w:rPr>
          <w:rFonts w:asciiTheme="minorHAnsi" w:hAnsiTheme="minorHAnsi" w:cstheme="minorHAnsi"/>
          <w:color w:val="000000" w:themeColor="text1"/>
          <w:lang w:val="en-AU"/>
        </w:rPr>
      </w:pPr>
    </w:p>
    <w:p w14:paraId="1201A8FE" w14:textId="77777777" w:rsidR="00457F3C" w:rsidRPr="0041682F" w:rsidRDefault="00457F3C" w:rsidP="00457F3C">
      <w:pPr>
        <w:rPr>
          <w:rFonts w:asciiTheme="minorHAnsi" w:hAnsiTheme="minorHAnsi" w:cstheme="minorHAnsi"/>
          <w:b/>
          <w:i/>
          <w:color w:val="000000" w:themeColor="text1"/>
          <w:lang w:val="en-AU"/>
        </w:rPr>
      </w:pPr>
      <w:r w:rsidRPr="0041682F">
        <w:rPr>
          <w:rFonts w:asciiTheme="minorHAnsi" w:hAnsiTheme="minorHAnsi" w:cstheme="minorHAnsi"/>
          <w:b/>
          <w:i/>
          <w:color w:val="000000" w:themeColor="text1"/>
          <w:lang w:val="en-AU"/>
        </w:rPr>
        <w:t>2.5.3 Efficacy and treatment related analyses:</w:t>
      </w:r>
    </w:p>
    <w:p w14:paraId="64BCE094" w14:textId="77777777" w:rsidR="00457F3C" w:rsidRPr="0041682F" w:rsidRDefault="00457F3C" w:rsidP="00457F3C">
      <w:pPr>
        <w:pStyle w:val="ListParagraph"/>
        <w:numPr>
          <w:ilvl w:val="1"/>
          <w:numId w:val="8"/>
        </w:numPr>
        <w:spacing w:after="0"/>
        <w:rPr>
          <w:rFonts w:asciiTheme="minorHAnsi" w:hAnsiTheme="minorHAnsi" w:cstheme="minorHAnsi"/>
          <w:i/>
          <w:color w:val="000000" w:themeColor="text1"/>
        </w:rPr>
      </w:pPr>
      <w:r w:rsidRPr="0041682F">
        <w:rPr>
          <w:rFonts w:asciiTheme="minorHAnsi" w:hAnsiTheme="minorHAnsi" w:cstheme="minorHAnsi"/>
          <w:i/>
          <w:color w:val="000000" w:themeColor="text1"/>
        </w:rPr>
        <w:t>Schizontocidal and primaquine treatment dosing</w:t>
      </w:r>
    </w:p>
    <w:p w14:paraId="0D45157B" w14:textId="77777777" w:rsidR="002456CC" w:rsidRDefault="002456CC" w:rsidP="002456CC">
      <w:pPr>
        <w:spacing w:after="0"/>
        <w:rPr>
          <w:rFonts w:asciiTheme="minorHAnsi" w:hAnsiTheme="minorHAnsi" w:cstheme="minorHAnsi"/>
          <w:color w:val="000000" w:themeColor="text1"/>
        </w:rPr>
      </w:pPr>
    </w:p>
    <w:p w14:paraId="3D007278" w14:textId="6D67E616" w:rsidR="00457F3C" w:rsidRPr="00122FA5" w:rsidRDefault="00457F3C" w:rsidP="002456CC">
      <w:pPr>
        <w:pStyle w:val="ListParagraph"/>
        <w:numPr>
          <w:ilvl w:val="0"/>
          <w:numId w:val="15"/>
        </w:numPr>
        <w:spacing w:after="0"/>
        <w:rPr>
          <w:rFonts w:asciiTheme="minorHAnsi" w:hAnsiTheme="minorHAnsi"/>
          <w:color w:val="000000" w:themeColor="text1"/>
        </w:rPr>
      </w:pPr>
      <w:r w:rsidRPr="002456CC">
        <w:rPr>
          <w:rFonts w:asciiTheme="minorHAnsi" w:hAnsiTheme="minorHAnsi" w:cstheme="minorHAnsi"/>
          <w:color w:val="000000" w:themeColor="text1"/>
        </w:rPr>
        <w:t xml:space="preserve">A summary of </w:t>
      </w:r>
      <w:r w:rsidR="00DB754C" w:rsidRPr="002456CC">
        <w:rPr>
          <w:rFonts w:asciiTheme="minorHAnsi" w:hAnsiTheme="minorHAnsi" w:cstheme="minorHAnsi"/>
          <w:color w:val="000000" w:themeColor="text1"/>
        </w:rPr>
        <w:t xml:space="preserve">the distribution of </w:t>
      </w:r>
      <w:r w:rsidRPr="002456CC">
        <w:rPr>
          <w:rFonts w:asciiTheme="minorHAnsi" w:hAnsiTheme="minorHAnsi" w:cstheme="minorHAnsi"/>
          <w:color w:val="000000" w:themeColor="text1"/>
        </w:rPr>
        <w:t>mg/kg total chloroquine and primaquine dose with inclusion of other schizontocidal agents if sufficient data available. Th</w:t>
      </w:r>
      <w:r w:rsidR="00DB754C" w:rsidRPr="002456CC">
        <w:rPr>
          <w:rFonts w:asciiTheme="minorHAnsi" w:hAnsiTheme="minorHAnsi" w:cstheme="minorHAnsi"/>
          <w:color w:val="000000" w:themeColor="text1"/>
        </w:rPr>
        <w:t>e distributions will be calculated separately</w:t>
      </w:r>
      <w:r w:rsidRPr="002456CC">
        <w:rPr>
          <w:rFonts w:asciiTheme="minorHAnsi" w:hAnsiTheme="minorHAnsi" w:cstheme="minorHAnsi"/>
          <w:color w:val="000000" w:themeColor="text1"/>
        </w:rPr>
        <w:t xml:space="preserve"> for different dosing strategies (age based and weight based) and region</w:t>
      </w:r>
      <w:r w:rsidR="00DB754C" w:rsidRPr="002456CC">
        <w:rPr>
          <w:rFonts w:asciiTheme="minorHAnsi" w:hAnsiTheme="minorHAnsi" w:cstheme="minorHAnsi"/>
          <w:color w:val="000000" w:themeColor="text1"/>
        </w:rPr>
        <w:t>s</w:t>
      </w:r>
      <w:r w:rsidRPr="002456CC">
        <w:rPr>
          <w:rFonts w:asciiTheme="minorHAnsi" w:hAnsiTheme="minorHAnsi" w:cstheme="minorHAnsi"/>
          <w:color w:val="000000" w:themeColor="text1"/>
        </w:rPr>
        <w:t xml:space="preserve"> </w:t>
      </w:r>
      <w:r w:rsidRPr="002456CC">
        <w:rPr>
          <w:rFonts w:asciiTheme="minorHAnsi" w:hAnsiTheme="minorHAnsi" w:cstheme="minorHAnsi"/>
          <w:color w:val="000000" w:themeColor="text1"/>
        </w:rPr>
        <w:fldChar w:fldCharType="begin"/>
      </w:r>
      <w:r w:rsidR="00A4255F" w:rsidRPr="002456CC">
        <w:rPr>
          <w:rFonts w:asciiTheme="minorHAnsi" w:hAnsiTheme="minorHAnsi" w:cstheme="minorHAnsi"/>
          <w:color w:val="000000" w:themeColor="text1"/>
        </w:rPr>
        <w:instrText xml:space="preserve"> ADDIN EN.CITE &lt;EndNote&gt;&lt;Cite&gt;&lt;Author&gt;Battle&lt;/Author&gt;&lt;Year&gt;2014&lt;/Year&gt;&lt;RecNum&gt;15&lt;/RecNum&gt;&lt;DisplayText&gt;(7)&lt;/DisplayText&gt;&lt;record&gt;&lt;rec-number&gt;15&lt;/rec-number&gt;&lt;foreign-keys&gt;&lt;key app="EN" db-id="zrz59pvfoxvewle2ee8xrwt2292evzwdsrse" timestamp="0"&gt;15&lt;/key&gt;&lt;/foreign-keys&gt;&lt;ref-type name="Journal Article"&gt;17&lt;/ref-type&gt;&lt;contributors&gt;&lt;authors&gt;&lt;author&gt;Battle, K. E.&lt;/author&gt;&lt;author&gt;Karhunen, M. S.&lt;/author&gt;&lt;author&gt;Bhatt, S.&lt;/author&gt;&lt;author&gt;Gething, P. W.&lt;/author&gt;&lt;author&gt;Howes, R. E.&lt;/author&gt;&lt;author&gt;Golding, N.&lt;/author&gt;&lt;author&gt;Van Boeckel, T. P.&lt;/author&gt;&lt;author&gt;Messina, J. P.&lt;/author&gt;&lt;author&gt;Shanks, G. D.&lt;/author&gt;&lt;author&gt;Smith, D. L.&lt;/author&gt;&lt;author&gt;Baird, J. K.&lt;/author&gt;&lt;author&gt;Hay, S. I.&lt;/author&gt;&lt;/authors&gt;&lt;/contributors&gt;&lt;auth-address&gt;Department of Zoology, Spatial Ecology and Epidemiology Group, Tinbergen Building, University of Oxford, South Parks Road, Oxford, UK. katherine.battle@zoo.ox.ac.uk.&lt;/auth-address&gt;&lt;titles&gt;&lt;title&gt;Geographical variation in Plasmodium vivax relapse&lt;/title&gt;&lt;secondary-title&gt;Malar J&lt;/secondary-title&gt;&lt;alt-title&gt;Malaria journal&lt;/alt-title&gt;&lt;/titles&gt;&lt;periodical&gt;&lt;full-title&gt;Malar J&lt;/full-title&gt;&lt;/periodical&gt;&lt;pages&gt;144&lt;/pages&gt;&lt;volume&gt;13&lt;/volume&gt;&lt;keywords&gt;&lt;keyword&gt;Geography&lt;/keyword&gt;&lt;keyword&gt;Humans&lt;/keyword&gt;&lt;keyword&gt;Incidence&lt;/keyword&gt;&lt;keyword&gt;Malaria, Vivax/*epidemiology/parasitology&lt;/keyword&gt;&lt;keyword&gt;*Periodicity&lt;/keyword&gt;&lt;keyword&gt;Plasmodium vivax/*physiology&lt;/keyword&gt;&lt;keyword&gt;Recurrence&lt;/keyword&gt;&lt;/keywords&gt;&lt;dates&gt;&lt;year&gt;2014&lt;/year&gt;&lt;/dates&gt;&lt;isbn&gt;1475-2875 (Electronic)&amp;#xD;1475-2875 (Linking)&lt;/isbn&gt;&lt;accession-num&gt;24731298&lt;/accession-num&gt;&lt;urls&gt;&lt;related-urls&gt;&lt;url&gt;http://www.ncbi.nlm.nih.gov/pubmed/24731298&lt;/url&gt;&lt;/related-urls&gt;&lt;/urls&gt;&lt;custom2&gt;4021508&lt;/custom2&gt;&lt;electronic-resource-num&gt;10.1186/1475-2875-13-144&lt;/electronic-resource-num&gt;&lt;/record&gt;&lt;/Cite&gt;&lt;/EndNote&gt;</w:instrText>
      </w:r>
      <w:r w:rsidRPr="002456CC">
        <w:rPr>
          <w:rFonts w:asciiTheme="minorHAnsi" w:hAnsiTheme="minorHAnsi" w:cstheme="minorHAnsi"/>
          <w:color w:val="000000" w:themeColor="text1"/>
        </w:rPr>
        <w:fldChar w:fldCharType="separate"/>
      </w:r>
      <w:r w:rsidR="00A4255F" w:rsidRPr="002456CC">
        <w:rPr>
          <w:rFonts w:asciiTheme="minorHAnsi" w:hAnsiTheme="minorHAnsi" w:cstheme="minorHAnsi"/>
          <w:noProof/>
          <w:color w:val="000000" w:themeColor="text1"/>
        </w:rPr>
        <w:t>(7)</w:t>
      </w:r>
      <w:r w:rsidRPr="002456CC">
        <w:rPr>
          <w:rFonts w:asciiTheme="minorHAnsi" w:hAnsiTheme="minorHAnsi" w:cstheme="minorHAnsi"/>
          <w:color w:val="000000" w:themeColor="text1"/>
        </w:rPr>
        <w:fldChar w:fldCharType="end"/>
      </w:r>
      <w:r w:rsidRPr="002456CC">
        <w:rPr>
          <w:rFonts w:asciiTheme="minorHAnsi" w:hAnsiTheme="minorHAnsi" w:cstheme="minorHAnsi"/>
          <w:color w:val="000000" w:themeColor="text1"/>
        </w:rPr>
        <w:t xml:space="preserve"> and presented </w:t>
      </w:r>
      <w:r w:rsidR="00DB754C" w:rsidRPr="002456CC">
        <w:rPr>
          <w:rFonts w:asciiTheme="minorHAnsi" w:hAnsiTheme="minorHAnsi" w:cstheme="minorHAnsi"/>
          <w:color w:val="000000" w:themeColor="text1"/>
        </w:rPr>
        <w:t xml:space="preserve">in tables (mean(SD)) as well as visualised </w:t>
      </w:r>
      <w:r w:rsidRPr="002456CC">
        <w:rPr>
          <w:rFonts w:asciiTheme="minorHAnsi" w:hAnsiTheme="minorHAnsi" w:cstheme="minorHAnsi"/>
          <w:color w:val="000000" w:themeColor="text1"/>
        </w:rPr>
        <w:t xml:space="preserve">using box </w:t>
      </w:r>
      <w:r w:rsidR="00DB754C" w:rsidRPr="002456CC">
        <w:rPr>
          <w:rFonts w:asciiTheme="minorHAnsi" w:hAnsiTheme="minorHAnsi" w:cstheme="minorHAnsi"/>
          <w:color w:val="000000" w:themeColor="text1"/>
        </w:rPr>
        <w:t xml:space="preserve">and whisker </w:t>
      </w:r>
      <w:r w:rsidRPr="002456CC">
        <w:rPr>
          <w:rFonts w:asciiTheme="minorHAnsi" w:hAnsiTheme="minorHAnsi" w:cstheme="minorHAnsi"/>
          <w:color w:val="000000" w:themeColor="text1"/>
        </w:rPr>
        <w:t>plots, histograms or scatter plots (e</w:t>
      </w:r>
      <w:r w:rsidR="00DB754C" w:rsidRPr="002456CC">
        <w:rPr>
          <w:rFonts w:asciiTheme="minorHAnsi" w:hAnsiTheme="minorHAnsi" w:cstheme="minorHAnsi"/>
          <w:color w:val="000000" w:themeColor="text1"/>
        </w:rPr>
        <w:t>.</w:t>
      </w:r>
      <w:r w:rsidRPr="002456CC">
        <w:rPr>
          <w:rFonts w:asciiTheme="minorHAnsi" w:hAnsiTheme="minorHAnsi" w:cstheme="minorHAnsi"/>
          <w:color w:val="000000" w:themeColor="text1"/>
        </w:rPr>
        <w:t>g</w:t>
      </w:r>
      <w:r w:rsidR="00DB754C" w:rsidRPr="002456CC">
        <w:rPr>
          <w:rFonts w:asciiTheme="minorHAnsi" w:hAnsiTheme="minorHAnsi" w:cstheme="minorHAnsi"/>
          <w:color w:val="000000" w:themeColor="text1"/>
        </w:rPr>
        <w:t>.</w:t>
      </w:r>
      <w:r w:rsidRPr="002456CC">
        <w:rPr>
          <w:rFonts w:asciiTheme="minorHAnsi" w:hAnsiTheme="minorHAnsi" w:cstheme="minorHAnsi"/>
          <w:color w:val="000000" w:themeColor="text1"/>
        </w:rPr>
        <w:t xml:space="preserve"> mg/kg dosing vs age or weight). </w:t>
      </w:r>
    </w:p>
    <w:p w14:paraId="4B08B866" w14:textId="77777777" w:rsidR="002456CC" w:rsidRDefault="002456CC" w:rsidP="002456CC">
      <w:pPr>
        <w:spacing w:after="0"/>
        <w:ind w:left="360"/>
        <w:rPr>
          <w:rFonts w:asciiTheme="minorHAnsi" w:hAnsiTheme="minorHAnsi"/>
          <w:color w:val="000000" w:themeColor="text1"/>
        </w:rPr>
      </w:pPr>
    </w:p>
    <w:p w14:paraId="5534443A" w14:textId="77777777" w:rsidR="00457F3C" w:rsidRPr="002456CC" w:rsidRDefault="00457F3C" w:rsidP="002456CC">
      <w:pPr>
        <w:pStyle w:val="ListParagraph"/>
        <w:numPr>
          <w:ilvl w:val="0"/>
          <w:numId w:val="15"/>
        </w:numPr>
        <w:spacing w:after="0"/>
        <w:rPr>
          <w:rFonts w:asciiTheme="minorHAnsi" w:hAnsiTheme="minorHAnsi"/>
          <w:color w:val="000000" w:themeColor="text1"/>
        </w:rPr>
      </w:pPr>
      <w:r w:rsidRPr="002456CC">
        <w:rPr>
          <w:rFonts w:asciiTheme="minorHAnsi" w:hAnsiTheme="minorHAnsi"/>
          <w:color w:val="000000" w:themeColor="text1"/>
        </w:rPr>
        <w:t>Summary statistics of dosing strategies used in children (e.g. % studies using quarter/half tablets, % dissolving tablets, suspension or paediatric formulation) will be reported.</w:t>
      </w:r>
    </w:p>
    <w:p w14:paraId="6D41A0EF" w14:textId="77777777" w:rsidR="002456CC" w:rsidRDefault="002456CC" w:rsidP="002456CC">
      <w:pPr>
        <w:spacing w:after="0"/>
        <w:ind w:left="360"/>
        <w:rPr>
          <w:rFonts w:asciiTheme="minorHAnsi" w:hAnsiTheme="minorHAnsi"/>
          <w:color w:val="000000" w:themeColor="text1"/>
        </w:rPr>
      </w:pPr>
    </w:p>
    <w:p w14:paraId="512A4EB8" w14:textId="183A409F" w:rsidR="00457F3C" w:rsidRPr="002456CC" w:rsidRDefault="00C60219" w:rsidP="002456CC">
      <w:pPr>
        <w:pStyle w:val="ListParagraph"/>
        <w:numPr>
          <w:ilvl w:val="0"/>
          <w:numId w:val="15"/>
        </w:numPr>
        <w:spacing w:after="0"/>
        <w:rPr>
          <w:rFonts w:asciiTheme="minorHAnsi" w:hAnsiTheme="minorHAnsi"/>
          <w:color w:val="000000" w:themeColor="text1"/>
        </w:rPr>
      </w:pPr>
      <w:r w:rsidRPr="002456CC">
        <w:rPr>
          <w:rFonts w:asciiTheme="minorHAnsi" w:hAnsiTheme="minorHAnsi"/>
          <w:color w:val="000000" w:themeColor="text1"/>
        </w:rPr>
        <w:t>Multivariable linear regression a</w:t>
      </w:r>
      <w:r w:rsidR="00457F3C" w:rsidRPr="002456CC">
        <w:rPr>
          <w:rFonts w:asciiTheme="minorHAnsi" w:hAnsiTheme="minorHAnsi"/>
          <w:color w:val="000000" w:themeColor="text1"/>
        </w:rPr>
        <w:t xml:space="preserve">nalysis will be carried out to </w:t>
      </w:r>
      <w:r w:rsidR="00914C1B" w:rsidRPr="002456CC">
        <w:rPr>
          <w:rFonts w:asciiTheme="minorHAnsi" w:hAnsiTheme="minorHAnsi"/>
          <w:color w:val="000000" w:themeColor="text1"/>
        </w:rPr>
        <w:t>identify</w:t>
      </w:r>
      <w:r w:rsidR="00457F3C" w:rsidRPr="002456CC">
        <w:rPr>
          <w:rFonts w:asciiTheme="minorHAnsi" w:hAnsiTheme="minorHAnsi"/>
          <w:color w:val="000000" w:themeColor="text1"/>
        </w:rPr>
        <w:t xml:space="preserve"> factors </w:t>
      </w:r>
      <w:r w:rsidRPr="002456CC">
        <w:rPr>
          <w:rFonts w:asciiTheme="minorHAnsi" w:hAnsiTheme="minorHAnsi"/>
          <w:color w:val="000000" w:themeColor="text1"/>
        </w:rPr>
        <w:t>associated with</w:t>
      </w:r>
      <w:r w:rsidR="00457F3C" w:rsidRPr="002456CC">
        <w:rPr>
          <w:rFonts w:asciiTheme="minorHAnsi" w:hAnsiTheme="minorHAnsi"/>
          <w:color w:val="000000" w:themeColor="text1"/>
        </w:rPr>
        <w:t xml:space="preserve"> a patient receiving a low mg/kg dose (as defined by section 5.5.5). The</w:t>
      </w:r>
      <w:r w:rsidRPr="002456CC">
        <w:rPr>
          <w:rFonts w:asciiTheme="minorHAnsi" w:hAnsiTheme="minorHAnsi"/>
          <w:color w:val="000000" w:themeColor="text1"/>
        </w:rPr>
        <w:t>se factors include</w:t>
      </w:r>
      <w:r w:rsidR="00457F3C" w:rsidRPr="002456CC">
        <w:rPr>
          <w:rFonts w:asciiTheme="minorHAnsi" w:hAnsiTheme="minorHAnsi"/>
          <w:color w:val="000000" w:themeColor="text1"/>
        </w:rPr>
        <w:t xml:space="preserve"> age, sex, protocol type, target dose, adherence violations, location and any other available risk factors (</w:t>
      </w:r>
      <w:r w:rsidRPr="002456CC">
        <w:rPr>
          <w:rFonts w:asciiTheme="minorHAnsi" w:hAnsiTheme="minorHAnsi"/>
          <w:color w:val="000000" w:themeColor="text1"/>
        </w:rPr>
        <w:t>e.g.</w:t>
      </w:r>
      <w:r w:rsidR="00F92294">
        <w:rPr>
          <w:rFonts w:asciiTheme="minorHAnsi" w:hAnsiTheme="minorHAnsi"/>
          <w:color w:val="000000" w:themeColor="text1"/>
        </w:rPr>
        <w:t xml:space="preserve"> </w:t>
      </w:r>
      <w:r w:rsidR="00457F3C" w:rsidRPr="002456CC">
        <w:rPr>
          <w:rFonts w:asciiTheme="minorHAnsi" w:hAnsiTheme="minorHAnsi"/>
          <w:color w:val="000000" w:themeColor="text1"/>
        </w:rPr>
        <w:t xml:space="preserve">nutritional status).  The WHO weight-for-age reference database, available as </w:t>
      </w:r>
      <w:r w:rsidR="00457F3C" w:rsidRPr="002456CC">
        <w:rPr>
          <w:rFonts w:asciiTheme="minorHAnsi" w:hAnsiTheme="minorHAnsi"/>
          <w:i/>
          <w:color w:val="000000" w:themeColor="text1"/>
        </w:rPr>
        <w:t>igrowup</w:t>
      </w:r>
      <w:r w:rsidR="00457F3C" w:rsidRPr="002456CC">
        <w:rPr>
          <w:rFonts w:asciiTheme="minorHAnsi" w:hAnsiTheme="minorHAnsi"/>
          <w:color w:val="000000" w:themeColor="text1"/>
        </w:rPr>
        <w:t xml:space="preserve"> package in </w:t>
      </w:r>
      <w:r w:rsidR="0096603A" w:rsidRPr="002456CC">
        <w:rPr>
          <w:rFonts w:asciiTheme="minorHAnsi" w:hAnsiTheme="minorHAnsi"/>
          <w:color w:val="000000" w:themeColor="text1"/>
        </w:rPr>
        <w:t>S</w:t>
      </w:r>
      <w:r w:rsidR="00457F3C" w:rsidRPr="002456CC">
        <w:rPr>
          <w:rFonts w:asciiTheme="minorHAnsi" w:hAnsiTheme="minorHAnsi"/>
          <w:color w:val="000000" w:themeColor="text1"/>
        </w:rPr>
        <w:t xml:space="preserve">tata will be used to compute anthropometric indicators of malnutrition (Z-scores) </w:t>
      </w:r>
      <w:r w:rsidR="00457F3C" w:rsidRPr="002456CC">
        <w:rPr>
          <w:rFonts w:asciiTheme="minorHAnsi" w:hAnsiTheme="minorHAnsi"/>
          <w:color w:val="000000" w:themeColor="text1"/>
        </w:rPr>
        <w:fldChar w:fldCharType="begin"/>
      </w:r>
      <w:r w:rsidR="00A4255F" w:rsidRPr="002456CC">
        <w:rPr>
          <w:rFonts w:asciiTheme="minorHAnsi" w:hAnsiTheme="minorHAnsi"/>
          <w:color w:val="000000" w:themeColor="text1"/>
        </w:rPr>
        <w:instrText xml:space="preserve"> ADDIN EN.CITE &lt;EndNote&gt;&lt;Cite&gt;&lt;Author&gt;World Health Organization&lt;/Author&gt;&lt;Year&gt;2006&lt;/Year&gt;&lt;RecNum&gt;68&lt;/RecNum&gt;&lt;DisplayText&gt;(3)&lt;/DisplayText&gt;&lt;record&gt;&lt;rec-number&gt;68&lt;/rec-number&gt;&lt;foreign-keys&gt;&lt;key app="EN" db-id="zrz59pvfoxvewle2ee8xrwt2292evzwdsrse" timestamp="0"&gt;68&lt;/key&gt;&lt;/foreign-keys&gt;&lt;ref-type name="Report"&gt;27&lt;/ref-type&gt;&lt;contributors&gt;&lt;authors&gt;&lt;author&gt;World Health Organization,&lt;/author&gt;&lt;/authors&gt;&lt;tertiary-authors&gt;&lt;author&gt;World Health Organization&lt;/author&gt;&lt;/tertiary-authors&gt;&lt;/contributors&gt;&lt;titles&gt;&lt;title&gt;WHO Child Growth Standards: Length/height-for-age, weight-for-age, weight-for-length, weight-for-height and body mass index-for-age: Methods and development&lt;/title&gt;&lt;/titles&gt;&lt;pages&gt;312&lt;/pages&gt;&lt;dates&gt;&lt;year&gt;2006&lt;/year&gt;&lt;/dates&gt;&lt;pub-location&gt;Geneva&lt;/pub-location&gt;&lt;urls&gt;&lt;/urls&gt;&lt;/record&gt;&lt;/Cite&gt;&lt;/EndNote&gt;</w:instrText>
      </w:r>
      <w:r w:rsidR="00457F3C" w:rsidRPr="002456CC">
        <w:rPr>
          <w:rFonts w:asciiTheme="minorHAnsi" w:hAnsiTheme="minorHAnsi"/>
          <w:color w:val="000000" w:themeColor="text1"/>
        </w:rPr>
        <w:fldChar w:fldCharType="separate"/>
      </w:r>
      <w:r w:rsidR="00A4255F" w:rsidRPr="002456CC">
        <w:rPr>
          <w:rFonts w:asciiTheme="minorHAnsi" w:hAnsiTheme="minorHAnsi"/>
          <w:noProof/>
          <w:color w:val="000000" w:themeColor="text1"/>
        </w:rPr>
        <w:t>(3)</w:t>
      </w:r>
      <w:r w:rsidR="00457F3C" w:rsidRPr="002456CC">
        <w:rPr>
          <w:rFonts w:asciiTheme="minorHAnsi" w:hAnsiTheme="minorHAnsi"/>
          <w:color w:val="000000" w:themeColor="text1"/>
        </w:rPr>
        <w:fldChar w:fldCharType="end"/>
      </w:r>
      <w:r w:rsidR="00457F3C" w:rsidRPr="002456CC">
        <w:rPr>
          <w:rFonts w:asciiTheme="minorHAnsi" w:hAnsiTheme="minorHAnsi"/>
          <w:color w:val="000000" w:themeColor="text1"/>
        </w:rPr>
        <w:t>.</w:t>
      </w:r>
    </w:p>
    <w:p w14:paraId="5F1AC707" w14:textId="77777777" w:rsidR="00457F3C" w:rsidRPr="003F41FF" w:rsidRDefault="00457F3C" w:rsidP="00457F3C">
      <w:pPr>
        <w:pStyle w:val="ListParagraph"/>
        <w:rPr>
          <w:rFonts w:asciiTheme="minorHAnsi" w:hAnsiTheme="minorHAnsi"/>
          <w:color w:val="000000" w:themeColor="text1"/>
        </w:rPr>
      </w:pPr>
    </w:p>
    <w:p w14:paraId="21523DBF" w14:textId="77777777" w:rsidR="00457F3C" w:rsidRPr="0041682F" w:rsidRDefault="00457F3C" w:rsidP="00457F3C">
      <w:pPr>
        <w:pStyle w:val="ListParagraph"/>
        <w:numPr>
          <w:ilvl w:val="1"/>
          <w:numId w:val="8"/>
        </w:numPr>
        <w:spacing w:after="0"/>
        <w:rPr>
          <w:rFonts w:asciiTheme="minorHAnsi" w:hAnsiTheme="minorHAnsi" w:cstheme="minorHAnsi"/>
          <w:i/>
          <w:color w:val="000000" w:themeColor="text1"/>
        </w:rPr>
      </w:pPr>
      <w:r w:rsidRPr="0041682F">
        <w:rPr>
          <w:rFonts w:asciiTheme="minorHAnsi" w:hAnsiTheme="minorHAnsi"/>
          <w:i/>
          <w:color w:val="000000" w:themeColor="text1"/>
        </w:rPr>
        <w:t>Risk of early PV recurrence within 28/42 days</w:t>
      </w:r>
    </w:p>
    <w:p w14:paraId="09C7EC16" w14:textId="77777777" w:rsidR="002456CC" w:rsidRDefault="002456CC" w:rsidP="002456CC">
      <w:pPr>
        <w:pStyle w:val="Default"/>
        <w:spacing w:line="276" w:lineRule="auto"/>
        <w:rPr>
          <w:rFonts w:asciiTheme="minorHAnsi" w:hAnsiTheme="minorHAnsi"/>
          <w:color w:val="000000" w:themeColor="text1"/>
          <w:sz w:val="22"/>
          <w:szCs w:val="22"/>
          <w:lang w:val="en-AU"/>
        </w:rPr>
      </w:pPr>
    </w:p>
    <w:p w14:paraId="0FFADEAA" w14:textId="3F06263F" w:rsidR="00C62789" w:rsidRDefault="00C62789" w:rsidP="002456CC">
      <w:pPr>
        <w:pStyle w:val="Default"/>
        <w:numPr>
          <w:ilvl w:val="0"/>
          <w:numId w:val="16"/>
        </w:numPr>
        <w:spacing w:line="276" w:lineRule="auto"/>
        <w:rPr>
          <w:rFonts w:asciiTheme="minorHAnsi" w:hAnsiTheme="minorHAnsi"/>
          <w:color w:val="000000" w:themeColor="text1"/>
          <w:sz w:val="22"/>
          <w:szCs w:val="22"/>
          <w:lang w:val="en-AU"/>
        </w:rPr>
      </w:pPr>
      <w:r w:rsidRPr="003F41FF">
        <w:rPr>
          <w:rFonts w:asciiTheme="minorHAnsi" w:hAnsiTheme="minorHAnsi"/>
          <w:color w:val="000000" w:themeColor="text1"/>
          <w:sz w:val="22"/>
          <w:szCs w:val="22"/>
          <w:lang w:val="en-AU"/>
        </w:rPr>
        <w:t xml:space="preserve">Outcomes obtained using WWARN’s standardised outputs will be used to compute the </w:t>
      </w:r>
      <w:r w:rsidRPr="00122FA5">
        <w:rPr>
          <w:rFonts w:asciiTheme="minorHAnsi" w:hAnsiTheme="minorHAnsi"/>
          <w:b/>
          <w:color w:val="000000" w:themeColor="text1"/>
          <w:sz w:val="22"/>
          <w:szCs w:val="22"/>
          <w:lang w:val="en-AU"/>
        </w:rPr>
        <w:t>Kaplan-Meier (K-M) estimates</w:t>
      </w:r>
      <w:r w:rsidRPr="003F41FF">
        <w:rPr>
          <w:rFonts w:asciiTheme="minorHAnsi" w:hAnsiTheme="minorHAnsi"/>
          <w:color w:val="000000" w:themeColor="text1"/>
          <w:sz w:val="22"/>
          <w:szCs w:val="22"/>
          <w:lang w:val="en-AU"/>
        </w:rPr>
        <w:t xml:space="preserve"> for the dosing groups </w:t>
      </w:r>
      <w:r>
        <w:rPr>
          <w:rFonts w:asciiTheme="minorHAnsi" w:hAnsiTheme="minorHAnsi"/>
          <w:color w:val="000000" w:themeColor="text1"/>
          <w:sz w:val="22"/>
          <w:szCs w:val="22"/>
          <w:lang w:val="en-AU"/>
        </w:rPr>
        <w:fldChar w:fldCharType="begin"/>
      </w:r>
      <w:r>
        <w:rPr>
          <w:rFonts w:asciiTheme="minorHAnsi" w:hAnsiTheme="minorHAnsi"/>
          <w:color w:val="000000" w:themeColor="text1"/>
          <w:sz w:val="22"/>
          <w:szCs w:val="22"/>
          <w:lang w:val="en-AU"/>
        </w:rPr>
        <w:instrText xml:space="preserve"> ADDIN EN.CITE &lt;EndNote&gt;&lt;Cite&gt;&lt;Author&gt;WorldWide Antimalarial Resistance Network&lt;/Author&gt;&lt;Year&gt;2012&lt;/Year&gt;&lt;RecNum&gt;56&lt;/RecNum&gt;&lt;DisplayText&gt;(1)&lt;/DisplayText&gt;&lt;record&gt;&lt;rec-number&gt;56&lt;/rec-number&gt;&lt;foreign-keys&gt;&lt;key app="EN" db-id="zrz59pvfoxvewle2ee8xrwt2292evzwdsrse" timestamp="0"&gt;56&lt;/key&gt;&lt;/foreign-keys&gt;&lt;ref-type name="Report"&gt;27&lt;/ref-type&gt;&lt;contributors&gt;&lt;authors&gt;&lt;author&gt;WorldWide Antimalarial Resistance Network,&lt;/author&gt;&lt;/authors&gt;&lt;tertiary-authors&gt;&lt;author&gt;WWARN&lt;/author&gt;&lt;/tertiary-authors&gt;&lt;/contributors&gt;&lt;titles&gt;&lt;title&gt;Data Management and Statistical Analysis Plan v1.2&lt;/title&gt;&lt;/titles&gt;&lt;dates&gt;&lt;year&gt;2012&lt;/year&gt;&lt;/dates&gt;&lt;pub-location&gt;Oxford&lt;/pub-location&gt;&lt;urls&gt;&lt;related-urls&gt;&lt;url&gt;http://www.wwarn.org/sites/default/files/ClinicalDMSAP.pdf&lt;/url&gt;&lt;/related-urls&gt;&lt;/urls&gt;&lt;access-date&gt;31 July 2016&lt;/access-date&gt;&lt;/record&gt;&lt;/Cite&gt;&lt;/EndNote&gt;</w:instrText>
      </w:r>
      <w:r>
        <w:rPr>
          <w:rFonts w:asciiTheme="minorHAnsi" w:hAnsiTheme="minorHAnsi"/>
          <w:color w:val="000000" w:themeColor="text1"/>
          <w:sz w:val="22"/>
          <w:szCs w:val="22"/>
          <w:lang w:val="en-AU"/>
        </w:rPr>
        <w:fldChar w:fldCharType="separate"/>
      </w:r>
      <w:r>
        <w:rPr>
          <w:rFonts w:asciiTheme="minorHAnsi" w:hAnsiTheme="minorHAnsi"/>
          <w:noProof/>
          <w:color w:val="000000" w:themeColor="text1"/>
          <w:sz w:val="22"/>
          <w:szCs w:val="22"/>
          <w:lang w:val="en-AU"/>
        </w:rPr>
        <w:t>(1)</w:t>
      </w:r>
      <w:r>
        <w:rPr>
          <w:rFonts w:asciiTheme="minorHAnsi" w:hAnsiTheme="minorHAnsi"/>
          <w:color w:val="000000" w:themeColor="text1"/>
          <w:sz w:val="22"/>
          <w:szCs w:val="22"/>
          <w:lang w:val="en-AU"/>
        </w:rPr>
        <w:fldChar w:fldCharType="end"/>
      </w:r>
      <w:r w:rsidRPr="003F41FF">
        <w:rPr>
          <w:rFonts w:asciiTheme="minorHAnsi" w:hAnsiTheme="minorHAnsi"/>
          <w:color w:val="000000" w:themeColor="text1"/>
          <w:sz w:val="22"/>
          <w:szCs w:val="22"/>
          <w:lang w:val="en-AU"/>
        </w:rPr>
        <w:t xml:space="preserve">. The K-M estimates will be presented graphically together with the associated tables. Log rank test stratified by </w:t>
      </w:r>
      <w:r w:rsidRPr="003F41FF">
        <w:rPr>
          <w:rFonts w:asciiTheme="minorHAnsi" w:hAnsiTheme="minorHAnsi"/>
          <w:color w:val="000000" w:themeColor="text1"/>
          <w:sz w:val="22"/>
          <w:szCs w:val="22"/>
          <w:lang w:val="en-AU"/>
        </w:rPr>
        <w:lastRenderedPageBreak/>
        <w:t xml:space="preserve">study sites will be performed at 5% level of significance to test if the K-M profiles are significantly different from each other. </w:t>
      </w:r>
    </w:p>
    <w:p w14:paraId="24162DE2" w14:textId="77777777" w:rsidR="002456CC" w:rsidRPr="00C62789" w:rsidRDefault="002456CC" w:rsidP="002456CC">
      <w:pPr>
        <w:pStyle w:val="Default"/>
        <w:spacing w:line="276" w:lineRule="auto"/>
        <w:ind w:left="1080"/>
        <w:rPr>
          <w:rFonts w:asciiTheme="minorHAnsi" w:hAnsiTheme="minorHAnsi"/>
          <w:color w:val="000000" w:themeColor="text1"/>
          <w:sz w:val="22"/>
          <w:szCs w:val="22"/>
          <w:lang w:val="en-AU"/>
        </w:rPr>
      </w:pPr>
    </w:p>
    <w:p w14:paraId="0870A2B6" w14:textId="77777777" w:rsidR="0059015A" w:rsidRPr="00122FA5" w:rsidRDefault="00C62789" w:rsidP="0059015A">
      <w:pPr>
        <w:pStyle w:val="Default"/>
        <w:numPr>
          <w:ilvl w:val="0"/>
          <w:numId w:val="13"/>
        </w:numPr>
        <w:spacing w:line="276" w:lineRule="auto"/>
        <w:rPr>
          <w:rFonts w:asciiTheme="minorHAnsi" w:hAnsiTheme="minorHAnsi"/>
          <w:color w:val="000000" w:themeColor="text1"/>
          <w:sz w:val="22"/>
          <w:szCs w:val="22"/>
          <w:lang w:val="en-AU"/>
        </w:rPr>
      </w:pPr>
      <w:r w:rsidRPr="003F41FF">
        <w:rPr>
          <w:rFonts w:asciiTheme="minorHAnsi" w:hAnsiTheme="minorHAnsi"/>
          <w:color w:val="000000" w:themeColor="text1"/>
          <w:sz w:val="22"/>
          <w:szCs w:val="22"/>
          <w:lang w:val="en-AU"/>
        </w:rPr>
        <w:t xml:space="preserve">The </w:t>
      </w:r>
      <w:r w:rsidRPr="00122FA5">
        <w:rPr>
          <w:rFonts w:asciiTheme="minorHAnsi" w:hAnsiTheme="minorHAnsi"/>
          <w:color w:val="000000" w:themeColor="text1"/>
          <w:sz w:val="22"/>
          <w:szCs w:val="22"/>
          <w:lang w:val="en-AU"/>
        </w:rPr>
        <w:t>proportion of patients who failed before day 28 or between day 28 and day 42 will be presented. In addition, the median time to presentation with recurrent infection will be calculated for different age-groups.</w:t>
      </w:r>
    </w:p>
    <w:p w14:paraId="01EB0A33" w14:textId="77777777" w:rsidR="002456CC" w:rsidRPr="00122FA5" w:rsidRDefault="002456CC" w:rsidP="002456CC">
      <w:pPr>
        <w:pStyle w:val="Default"/>
        <w:spacing w:line="276" w:lineRule="auto"/>
        <w:ind w:left="1080"/>
        <w:rPr>
          <w:rFonts w:asciiTheme="minorHAnsi" w:hAnsiTheme="minorHAnsi"/>
          <w:color w:val="000000" w:themeColor="text1"/>
          <w:sz w:val="22"/>
          <w:szCs w:val="22"/>
          <w:lang w:val="en-AU"/>
        </w:rPr>
      </w:pPr>
    </w:p>
    <w:p w14:paraId="76F48CF0" w14:textId="548F0DD5" w:rsidR="002456CC" w:rsidRPr="00122FA5" w:rsidRDefault="0059015A" w:rsidP="002456CC">
      <w:pPr>
        <w:pStyle w:val="Default"/>
        <w:numPr>
          <w:ilvl w:val="0"/>
          <w:numId w:val="13"/>
        </w:numPr>
        <w:spacing w:line="276" w:lineRule="auto"/>
        <w:rPr>
          <w:rFonts w:asciiTheme="minorHAnsi" w:hAnsiTheme="minorHAnsi"/>
          <w:color w:val="000000" w:themeColor="text1"/>
          <w:sz w:val="22"/>
          <w:szCs w:val="22"/>
          <w:lang w:val="en-AU"/>
        </w:rPr>
      </w:pPr>
      <w:r w:rsidRPr="00122FA5">
        <w:rPr>
          <w:rFonts w:asciiTheme="minorHAnsi" w:hAnsiTheme="minorHAnsi"/>
          <w:color w:val="000000" w:themeColor="text1"/>
          <w:sz w:val="22"/>
          <w:szCs w:val="22"/>
        </w:rPr>
        <w:t>Median (IQR) mg/kg dose of chloroquine (or other schizontocidal agent such as ACTs) or primaquine in patients failing treatment (i.e. recurrence) vs successfully treated (defined as reaching the end of the study duration without failure) will be calculated.</w:t>
      </w:r>
    </w:p>
    <w:p w14:paraId="30F30ADD" w14:textId="77777777" w:rsidR="002456CC" w:rsidRPr="00122FA5" w:rsidRDefault="002456CC" w:rsidP="002456CC">
      <w:pPr>
        <w:pStyle w:val="Default"/>
        <w:spacing w:line="276" w:lineRule="auto"/>
        <w:ind w:left="1080"/>
        <w:rPr>
          <w:rFonts w:asciiTheme="minorHAnsi" w:hAnsiTheme="minorHAnsi"/>
          <w:color w:val="000000" w:themeColor="text1"/>
          <w:sz w:val="22"/>
          <w:szCs w:val="22"/>
          <w:lang w:val="en-AU"/>
        </w:rPr>
      </w:pPr>
    </w:p>
    <w:p w14:paraId="5F1FBB3E" w14:textId="1BA635CD" w:rsidR="00B70623" w:rsidRPr="00B70623" w:rsidRDefault="00601CD5" w:rsidP="00787C61">
      <w:pPr>
        <w:pStyle w:val="ListParagraph"/>
        <w:numPr>
          <w:ilvl w:val="1"/>
          <w:numId w:val="4"/>
        </w:numPr>
        <w:spacing w:after="0"/>
        <w:ind w:left="1134"/>
      </w:pPr>
      <w:r w:rsidRPr="00122FA5">
        <w:rPr>
          <w:rFonts w:asciiTheme="minorHAnsi" w:hAnsiTheme="minorHAnsi" w:cstheme="minorHAnsi"/>
          <w:b/>
          <w:color w:val="000000" w:themeColor="text1"/>
        </w:rPr>
        <w:t>Cox regression analysis</w:t>
      </w:r>
      <w:r w:rsidR="00457F3C" w:rsidRPr="00122FA5">
        <w:rPr>
          <w:rFonts w:asciiTheme="minorHAnsi" w:hAnsiTheme="minorHAnsi" w:cstheme="minorHAnsi"/>
          <w:color w:val="000000" w:themeColor="text1"/>
        </w:rPr>
        <w:t xml:space="preserve"> for time to recurrence during follow-up (28 or 42 days) will be performed, with </w:t>
      </w:r>
      <w:r w:rsidR="0024613E" w:rsidRPr="00122FA5">
        <w:rPr>
          <w:rFonts w:asciiTheme="minorHAnsi" w:hAnsiTheme="minorHAnsi" w:cstheme="minorHAnsi"/>
          <w:color w:val="000000" w:themeColor="text1"/>
        </w:rPr>
        <w:t xml:space="preserve">a </w:t>
      </w:r>
      <w:r w:rsidR="00457F3C" w:rsidRPr="00122FA5">
        <w:rPr>
          <w:rFonts w:asciiTheme="minorHAnsi" w:hAnsiTheme="minorHAnsi" w:cstheme="minorHAnsi"/>
          <w:color w:val="000000" w:themeColor="text1"/>
        </w:rPr>
        <w:t xml:space="preserve">random </w:t>
      </w:r>
      <w:r w:rsidR="0024613E" w:rsidRPr="00122FA5">
        <w:rPr>
          <w:rFonts w:asciiTheme="minorHAnsi" w:hAnsiTheme="minorHAnsi" w:cstheme="minorHAnsi"/>
          <w:color w:val="000000" w:themeColor="text1"/>
        </w:rPr>
        <w:t>intercept</w:t>
      </w:r>
      <w:r w:rsidR="00C62789" w:rsidRPr="00122FA5">
        <w:rPr>
          <w:rFonts w:asciiTheme="minorHAnsi" w:hAnsiTheme="minorHAnsi" w:cstheme="minorHAnsi"/>
          <w:color w:val="000000" w:themeColor="text1"/>
        </w:rPr>
        <w:t xml:space="preserve"> for study-site.</w:t>
      </w:r>
      <w:r w:rsidR="00457F3C" w:rsidRPr="00122FA5">
        <w:rPr>
          <w:rFonts w:asciiTheme="minorHAnsi" w:hAnsiTheme="minorHAnsi" w:cstheme="minorHAnsi"/>
          <w:color w:val="000000" w:themeColor="text1"/>
        </w:rPr>
        <w:t xml:space="preserve"> </w:t>
      </w:r>
      <w:r w:rsidR="000A744B">
        <w:rPr>
          <w:rFonts w:asciiTheme="minorHAnsi" w:hAnsiTheme="minorHAnsi" w:cstheme="minorHAnsi"/>
          <w:color w:val="000000" w:themeColor="text1"/>
        </w:rPr>
        <w:t xml:space="preserve">Schizontocidal mg/kg dose and primaquine use and mg/kg dose will be controlled for potential confounders including age, sex, baseline parasitaemia and relapse periodicity. Weight will not be included due to collinearity with age. </w:t>
      </w:r>
      <w:r w:rsidR="000A744B">
        <w:rPr>
          <w:color w:val="000000" w:themeColor="text1"/>
        </w:rPr>
        <w:t>C</w:t>
      </w:r>
      <w:r w:rsidR="000A744B" w:rsidRPr="007B791F">
        <w:rPr>
          <w:color w:val="000000" w:themeColor="text1"/>
        </w:rPr>
        <w:t xml:space="preserve">ollinearity </w:t>
      </w:r>
      <w:r w:rsidR="000A744B">
        <w:rPr>
          <w:color w:val="000000" w:themeColor="text1"/>
        </w:rPr>
        <w:t>between relapse periodicity and</w:t>
      </w:r>
      <w:r w:rsidR="000A744B" w:rsidRPr="007B791F">
        <w:rPr>
          <w:color w:val="000000" w:themeColor="text1"/>
        </w:rPr>
        <w:t xml:space="preserve"> geographical region and parasite prevalence </w:t>
      </w:r>
      <w:r w:rsidR="000A744B">
        <w:rPr>
          <w:color w:val="000000" w:themeColor="text1"/>
        </w:rPr>
        <w:t>will be examined</w:t>
      </w:r>
      <w:r w:rsidR="000A744B" w:rsidRPr="007B791F">
        <w:rPr>
          <w:color w:val="000000" w:themeColor="text1"/>
        </w:rPr>
        <w:t xml:space="preserve">. </w:t>
      </w:r>
      <w:r w:rsidR="000A744B">
        <w:rPr>
          <w:rFonts w:asciiTheme="minorHAnsi" w:hAnsiTheme="minorHAnsi" w:cstheme="minorHAnsi"/>
          <w:color w:val="000000" w:themeColor="text1"/>
        </w:rPr>
        <w:t xml:space="preserve">Additional covariates will be examined including level of treatment supervision, vomiting, baseline temperature and haemoglobin. Due to less data and less expected impact as confounders, baseline haemoglobin and temperature will not be included in the multivariable model. </w:t>
      </w:r>
    </w:p>
    <w:p w14:paraId="61537BF8" w14:textId="77777777" w:rsidR="00B70623" w:rsidRPr="00B70623" w:rsidRDefault="00B70623" w:rsidP="00B70623">
      <w:pPr>
        <w:pStyle w:val="ListParagraph"/>
        <w:spacing w:after="0"/>
        <w:ind w:left="1134"/>
      </w:pPr>
    </w:p>
    <w:p w14:paraId="1642C9A9" w14:textId="77777777" w:rsidR="00122FA5" w:rsidRDefault="00122FA5" w:rsidP="00787C61">
      <w:pPr>
        <w:pStyle w:val="ListParagraph"/>
        <w:spacing w:after="0"/>
        <w:ind w:left="1134"/>
      </w:pPr>
    </w:p>
    <w:p w14:paraId="2F0DAC96" w14:textId="4B43AA23" w:rsidR="00122FA5" w:rsidRPr="00122FA5" w:rsidRDefault="00457F3C" w:rsidP="00122FA5">
      <w:pPr>
        <w:pStyle w:val="ListParagraph"/>
        <w:numPr>
          <w:ilvl w:val="1"/>
          <w:numId w:val="4"/>
        </w:numPr>
        <w:spacing w:after="0"/>
        <w:ind w:left="1134"/>
        <w:rPr>
          <w:rFonts w:asciiTheme="minorHAnsi" w:hAnsiTheme="minorHAnsi" w:cstheme="minorHAnsi"/>
          <w:color w:val="000000" w:themeColor="text1"/>
        </w:rPr>
      </w:pPr>
      <w:r w:rsidRPr="00122FA5">
        <w:rPr>
          <w:rFonts w:asciiTheme="minorHAnsi" w:hAnsiTheme="minorHAnsi"/>
          <w:b/>
          <w:bCs/>
          <w:color w:val="000000" w:themeColor="text1"/>
        </w:rPr>
        <w:t xml:space="preserve">Population Attributable Risk </w:t>
      </w:r>
      <w:r w:rsidRPr="00122FA5">
        <w:rPr>
          <w:rFonts w:asciiTheme="minorHAnsi" w:hAnsiTheme="minorHAnsi"/>
          <w:color w:val="000000" w:themeColor="text1"/>
        </w:rPr>
        <w:t xml:space="preserve">(PAR) of low mg/kg dose of chloroquine or ACT and primaquine on risk of recurrence will be </w:t>
      </w:r>
      <w:r w:rsidR="00601CD5" w:rsidRPr="00122FA5">
        <w:rPr>
          <w:rFonts w:asciiTheme="minorHAnsi" w:hAnsiTheme="minorHAnsi"/>
          <w:color w:val="000000" w:themeColor="text1"/>
        </w:rPr>
        <w:t>estimated</w:t>
      </w:r>
      <w:r w:rsidRPr="00122FA5">
        <w:rPr>
          <w:rFonts w:asciiTheme="minorHAnsi" w:hAnsiTheme="minorHAnsi"/>
          <w:color w:val="000000" w:themeColor="text1"/>
        </w:rPr>
        <w:t>.</w:t>
      </w:r>
      <w:r w:rsidR="00122FA5" w:rsidRPr="00122FA5">
        <w:rPr>
          <w:rFonts w:asciiTheme="minorHAnsi" w:hAnsiTheme="minorHAnsi"/>
          <w:color w:val="000000" w:themeColor="text1"/>
        </w:rPr>
        <w:t xml:space="preserve"> The PAR% will be computed using formula first proposed by Levin </w:t>
      </w:r>
      <w:r w:rsidR="00122FA5" w:rsidRPr="00122FA5">
        <w:rPr>
          <w:rFonts w:asciiTheme="minorHAnsi" w:hAnsiTheme="minorHAnsi"/>
          <w:color w:val="000000" w:themeColor="text1"/>
        </w:rPr>
        <w:fldChar w:fldCharType="begin"/>
      </w:r>
      <w:r w:rsidR="00122FA5" w:rsidRPr="00122FA5">
        <w:rPr>
          <w:rFonts w:asciiTheme="minorHAnsi" w:hAnsiTheme="minorHAnsi"/>
          <w:color w:val="000000" w:themeColor="text1"/>
        </w:rPr>
        <w:instrText xml:space="preserve"> ADDIN EN.CITE &lt;EndNote&gt;&lt;Cite&gt;&lt;Author&gt;Levin&lt;/Author&gt;&lt;Year&gt;1953&lt;/Year&gt;&lt;RecNum&gt;69&lt;/RecNum&gt;&lt;DisplayText&gt;(11)&lt;/DisplayText&gt;&lt;record&gt;&lt;rec-number&gt;69&lt;/rec-number&gt;&lt;foreign-keys&gt;&lt;key app="EN" db-id="zrz59pvfoxvewle2ee8xrwt2292evzwdsrse" timestamp="0"&gt;69&lt;/key&gt;&lt;/foreign-keys&gt;&lt;ref-type name="Journal Article"&gt;17&lt;/ref-type&gt;&lt;contributors&gt;&lt;authors&gt;&lt;author&gt;Levin, M. L.&lt;/author&gt;&lt;/authors&gt;&lt;/contributors&gt;&lt;titles&gt;&lt;title&gt;The occurrence of lung cancer in man&lt;/title&gt;&lt;secondary-title&gt;Acta Unio Int Contra Cancrum&lt;/secondary-title&gt;&lt;/titles&gt;&lt;pages&gt;531-41&lt;/pages&gt;&lt;volume&gt;9&lt;/volume&gt;&lt;number&gt;3&lt;/number&gt;&lt;keywords&gt;&lt;keyword&gt;*Lung Neoplasms&lt;/keyword&gt;&lt;keyword&gt;Smoking/*adverse effects&lt;/keyword&gt;&lt;keyword&gt;*LUNGS/neoplasms&lt;/keyword&gt;&lt;keyword&gt;*SMOKING/injurious effects&lt;/keyword&gt;&lt;/keywords&gt;&lt;dates&gt;&lt;year&gt;1953&lt;/year&gt;&lt;/dates&gt;&lt;isbn&gt;0365-3056 (Print)&amp;#xD;0365-3056 (Linking)&lt;/isbn&gt;&lt;accession-num&gt;13124110&lt;/accession-num&gt;&lt;urls&gt;&lt;related-urls&gt;&lt;url&gt;http://www.ncbi.nlm.nih.gov/pubmed/13124110&lt;/url&gt;&lt;/related-urls&gt;&lt;/urls&gt;&lt;/record&gt;&lt;/Cite&gt;&lt;/EndNote&gt;</w:instrText>
      </w:r>
      <w:r w:rsidR="00122FA5" w:rsidRPr="00122FA5">
        <w:rPr>
          <w:rFonts w:asciiTheme="minorHAnsi" w:hAnsiTheme="minorHAnsi"/>
          <w:color w:val="000000" w:themeColor="text1"/>
        </w:rPr>
        <w:fldChar w:fldCharType="separate"/>
      </w:r>
      <w:r w:rsidR="00122FA5" w:rsidRPr="00122FA5">
        <w:rPr>
          <w:rFonts w:asciiTheme="minorHAnsi" w:hAnsiTheme="minorHAnsi"/>
          <w:noProof/>
          <w:color w:val="000000" w:themeColor="text1"/>
        </w:rPr>
        <w:t>(11)</w:t>
      </w:r>
      <w:r w:rsidR="00122FA5" w:rsidRPr="00122FA5">
        <w:rPr>
          <w:rFonts w:asciiTheme="minorHAnsi" w:hAnsiTheme="minorHAnsi"/>
          <w:color w:val="000000" w:themeColor="text1"/>
        </w:rPr>
        <w:fldChar w:fldCharType="end"/>
      </w:r>
      <w:r w:rsidR="00122FA5" w:rsidRPr="00122FA5">
        <w:rPr>
          <w:rFonts w:asciiTheme="minorHAnsi" w:hAnsiTheme="minorHAnsi"/>
          <w:color w:val="000000" w:themeColor="text1"/>
        </w:rPr>
        <w:t xml:space="preserve"> based on the prevalence of the risk factor in population and the relative risk (RR) estimate for the risk factor. The relative risks (RR) will be replaced by the adjusted hazard ratio (AHR) from the multivariable cox’s regression model </w:t>
      </w:r>
      <w:r w:rsidR="00122FA5" w:rsidRPr="00122FA5">
        <w:rPr>
          <w:rFonts w:asciiTheme="minorHAnsi" w:hAnsiTheme="minorHAnsi"/>
          <w:color w:val="000000" w:themeColor="text1"/>
        </w:rPr>
        <w:fldChar w:fldCharType="begin"/>
      </w:r>
      <w:r w:rsidR="00122FA5" w:rsidRPr="00122FA5">
        <w:rPr>
          <w:rFonts w:asciiTheme="minorHAnsi" w:hAnsiTheme="minorHAnsi"/>
          <w:color w:val="000000" w:themeColor="text1"/>
        </w:rPr>
        <w:instrText xml:space="preserve"> ADDIN EN.CITE &lt;EndNote&gt;&lt;Cite&gt;&lt;Author&gt;Benichou&lt;/Author&gt;&lt;Year&gt;2001&lt;/Year&gt;&lt;RecNum&gt;70&lt;/RecNum&gt;&lt;DisplayText&gt;(12)&lt;/DisplayText&gt;&lt;record&gt;&lt;rec-number&gt;70&lt;/rec-number&gt;&lt;foreign-keys&gt;&lt;key app="EN" db-id="zrz59pvfoxvewle2ee8xrwt2292evzwdsrse" timestamp="0"&gt;70&lt;/key&gt;&lt;/foreign-keys&gt;&lt;ref-type name="Journal Article"&gt;17&lt;/ref-type&gt;&lt;contributors&gt;&lt;authors&gt;&lt;author&gt;Benichou, J&lt;/author&gt;&lt;/authors&gt;&lt;/contributors&gt;&lt;titles&gt;&lt;title&gt;A review of adjusted estimates of attributable risk&lt;/title&gt;&lt;secondary-title&gt;Statistical Methods in Medical Research&lt;/secondary-title&gt;&lt;/titles&gt;&lt;pages&gt;195-216&lt;/pages&gt;&lt;volume&gt;10&lt;/volume&gt;&lt;dates&gt;&lt;year&gt;2001&lt;/year&gt;&lt;/dates&gt;&lt;urls&gt;&lt;/urls&gt;&lt;/record&gt;&lt;/Cite&gt;&lt;/EndNote&gt;</w:instrText>
      </w:r>
      <w:r w:rsidR="00122FA5" w:rsidRPr="00122FA5">
        <w:rPr>
          <w:rFonts w:asciiTheme="minorHAnsi" w:hAnsiTheme="minorHAnsi"/>
          <w:color w:val="000000" w:themeColor="text1"/>
        </w:rPr>
        <w:fldChar w:fldCharType="separate"/>
      </w:r>
      <w:r w:rsidR="00122FA5" w:rsidRPr="00122FA5">
        <w:rPr>
          <w:rFonts w:asciiTheme="minorHAnsi" w:hAnsiTheme="minorHAnsi"/>
          <w:noProof/>
          <w:color w:val="000000" w:themeColor="text1"/>
        </w:rPr>
        <w:t>(12)</w:t>
      </w:r>
      <w:r w:rsidR="00122FA5" w:rsidRPr="00122FA5">
        <w:rPr>
          <w:rFonts w:asciiTheme="minorHAnsi" w:hAnsiTheme="minorHAnsi"/>
          <w:color w:val="000000" w:themeColor="text1"/>
        </w:rPr>
        <w:fldChar w:fldCharType="end"/>
      </w:r>
      <w:r w:rsidR="00122FA5" w:rsidRPr="00122FA5">
        <w:rPr>
          <w:rFonts w:asciiTheme="minorHAnsi" w:hAnsiTheme="minorHAnsi"/>
          <w:color w:val="000000" w:themeColor="text1"/>
        </w:rPr>
        <w:t xml:space="preserve">. Continuous risk factors will be categorised to compute the PAR associated with exposure to those risk factors with baseline parasitaemia categorised at &gt;= 100,000/μL and baseline anaemia categorised as haemoglobin &lt;10g/dL. </w:t>
      </w:r>
    </w:p>
    <w:p w14:paraId="3AA2CAB6" w14:textId="77777777" w:rsidR="00122FA5" w:rsidRPr="003F41FF" w:rsidRDefault="00122FA5" w:rsidP="00122FA5">
      <w:pPr>
        <w:pStyle w:val="Default"/>
        <w:spacing w:line="276" w:lineRule="auto"/>
        <w:rPr>
          <w:rFonts w:asciiTheme="minorHAnsi" w:hAnsiTheme="minorHAnsi"/>
          <w:color w:val="000000" w:themeColor="text1"/>
          <w:sz w:val="22"/>
          <w:szCs w:val="22"/>
          <w:lang w:val="en-AU"/>
        </w:rPr>
      </w:pPr>
    </w:p>
    <w:p w14:paraId="12478841" w14:textId="77777777" w:rsidR="00122FA5" w:rsidRPr="003F41FF" w:rsidRDefault="00122FA5" w:rsidP="00122FA5">
      <w:pPr>
        <w:pStyle w:val="Default"/>
        <w:spacing w:line="276" w:lineRule="auto"/>
        <w:rPr>
          <w:rFonts w:asciiTheme="minorHAnsi" w:eastAsiaTheme="minorEastAsia" w:hAnsiTheme="minorHAnsi"/>
          <w:color w:val="000000" w:themeColor="text1"/>
          <w:sz w:val="22"/>
          <w:szCs w:val="22"/>
          <w:lang w:val="en-AU"/>
        </w:rPr>
      </w:pPr>
      <m:oMathPara>
        <m:oMath>
          <m:r>
            <w:rPr>
              <w:rFonts w:ascii="Cambria Math" w:hAnsi="Cambria Math"/>
              <w:color w:val="000000" w:themeColor="text1"/>
              <w:sz w:val="22"/>
              <w:szCs w:val="22"/>
              <w:lang w:val="en-AU"/>
            </w:rPr>
            <m:t>PAR=</m:t>
          </m:r>
          <m:f>
            <m:fPr>
              <m:ctrlPr>
                <w:rPr>
                  <w:rFonts w:ascii="Cambria Math" w:hAnsi="Cambria Math"/>
                  <w:i/>
                  <w:color w:val="000000" w:themeColor="text1"/>
                  <w:sz w:val="22"/>
                  <w:szCs w:val="22"/>
                  <w:lang w:val="en-AU"/>
                </w:rPr>
              </m:ctrlPr>
            </m:fPr>
            <m:num>
              <m:sSub>
                <m:sSubPr>
                  <m:ctrlPr>
                    <w:rPr>
                      <w:rFonts w:ascii="Cambria Math" w:hAnsi="Cambria Math"/>
                      <w:i/>
                      <w:color w:val="000000" w:themeColor="text1"/>
                      <w:sz w:val="22"/>
                      <w:szCs w:val="22"/>
                      <w:lang w:val="en-AU"/>
                    </w:rPr>
                  </m:ctrlPr>
                </m:sSubPr>
                <m:e>
                  <m:r>
                    <w:rPr>
                      <w:rFonts w:ascii="Cambria Math" w:hAnsi="Cambria Math"/>
                      <w:color w:val="000000" w:themeColor="text1"/>
                      <w:sz w:val="22"/>
                      <w:szCs w:val="22"/>
                      <w:lang w:val="en-AU"/>
                    </w:rPr>
                    <m:t>p</m:t>
                  </m:r>
                </m:e>
                <m:sub>
                  <m:r>
                    <w:rPr>
                      <w:rFonts w:ascii="Cambria Math" w:hAnsi="Cambria Math"/>
                      <w:color w:val="000000" w:themeColor="text1"/>
                      <w:sz w:val="22"/>
                      <w:szCs w:val="22"/>
                      <w:lang w:val="en-AU"/>
                    </w:rPr>
                    <m:t>e</m:t>
                  </m:r>
                </m:sub>
              </m:sSub>
              <m:r>
                <w:rPr>
                  <w:rFonts w:ascii="Cambria Math" w:hAnsi="Cambria Math"/>
                  <w:color w:val="000000" w:themeColor="text1"/>
                  <w:sz w:val="22"/>
                  <w:szCs w:val="22"/>
                  <w:lang w:val="en-AU"/>
                </w:rPr>
                <m:t>(AHR-1)</m:t>
              </m:r>
            </m:num>
            <m:den>
              <m:r>
                <w:rPr>
                  <w:rFonts w:ascii="Cambria Math" w:hAnsi="Cambria Math"/>
                  <w:color w:val="000000" w:themeColor="text1"/>
                  <w:sz w:val="22"/>
                  <w:szCs w:val="22"/>
                  <w:lang w:val="en-AU"/>
                </w:rPr>
                <m:t>1+</m:t>
              </m:r>
              <m:sSub>
                <m:sSubPr>
                  <m:ctrlPr>
                    <w:rPr>
                      <w:rFonts w:ascii="Cambria Math" w:hAnsi="Cambria Math"/>
                      <w:i/>
                      <w:color w:val="000000" w:themeColor="text1"/>
                      <w:sz w:val="22"/>
                      <w:szCs w:val="22"/>
                      <w:lang w:val="en-AU"/>
                    </w:rPr>
                  </m:ctrlPr>
                </m:sSubPr>
                <m:e>
                  <m:r>
                    <w:rPr>
                      <w:rFonts w:ascii="Cambria Math" w:hAnsi="Cambria Math"/>
                      <w:color w:val="000000" w:themeColor="text1"/>
                      <w:sz w:val="22"/>
                      <w:szCs w:val="22"/>
                      <w:lang w:val="en-AU"/>
                    </w:rPr>
                    <m:t>p</m:t>
                  </m:r>
                </m:e>
                <m:sub>
                  <m:r>
                    <w:rPr>
                      <w:rFonts w:ascii="Cambria Math" w:hAnsi="Cambria Math"/>
                      <w:color w:val="000000" w:themeColor="text1"/>
                      <w:sz w:val="22"/>
                      <w:szCs w:val="22"/>
                      <w:lang w:val="en-AU"/>
                    </w:rPr>
                    <m:t>e</m:t>
                  </m:r>
                </m:sub>
              </m:sSub>
              <m:r>
                <w:rPr>
                  <w:rFonts w:ascii="Cambria Math" w:hAnsi="Cambria Math"/>
                  <w:color w:val="000000" w:themeColor="text1"/>
                  <w:sz w:val="22"/>
                  <w:szCs w:val="22"/>
                  <w:lang w:val="en-AU"/>
                </w:rPr>
                <m:t>(AHR-1)</m:t>
              </m:r>
            </m:den>
          </m:f>
        </m:oMath>
      </m:oMathPara>
    </w:p>
    <w:p w14:paraId="5D42DAD0" w14:textId="77777777" w:rsidR="00122FA5" w:rsidRPr="003F41FF" w:rsidRDefault="00122FA5" w:rsidP="00122FA5">
      <w:pPr>
        <w:pStyle w:val="Default"/>
        <w:spacing w:line="276" w:lineRule="auto"/>
        <w:rPr>
          <w:rFonts w:asciiTheme="minorHAnsi" w:eastAsiaTheme="minorEastAsia" w:hAnsiTheme="minorHAnsi"/>
          <w:color w:val="000000" w:themeColor="text1"/>
          <w:sz w:val="22"/>
          <w:szCs w:val="22"/>
          <w:lang w:val="en-AU"/>
        </w:rPr>
      </w:pPr>
    </w:p>
    <w:p w14:paraId="68D1360D" w14:textId="77777777" w:rsidR="00122FA5" w:rsidRPr="003F41FF" w:rsidRDefault="00122FA5" w:rsidP="00122FA5">
      <w:pPr>
        <w:pStyle w:val="Default"/>
        <w:spacing w:line="276" w:lineRule="auto"/>
        <w:ind w:left="1134"/>
        <w:rPr>
          <w:rFonts w:asciiTheme="minorHAnsi" w:hAnsiTheme="minorHAnsi"/>
          <w:color w:val="000000" w:themeColor="text1"/>
          <w:sz w:val="22"/>
          <w:szCs w:val="22"/>
          <w:lang w:val="en-AU"/>
        </w:rPr>
      </w:pPr>
      <w:r w:rsidRPr="003F41FF">
        <w:rPr>
          <w:rFonts w:asciiTheme="minorHAnsi" w:eastAsiaTheme="minorEastAsia" w:hAnsiTheme="minorHAnsi"/>
          <w:color w:val="000000" w:themeColor="text1"/>
          <w:sz w:val="22"/>
          <w:szCs w:val="22"/>
          <w:lang w:val="en-AU"/>
        </w:rPr>
        <w:t xml:space="preserve">Where </w:t>
      </w:r>
      <m:oMath>
        <m:sSub>
          <m:sSubPr>
            <m:ctrlPr>
              <w:rPr>
                <w:rFonts w:ascii="Cambria Math" w:eastAsiaTheme="minorEastAsia" w:hAnsi="Cambria Math"/>
                <w:i/>
                <w:color w:val="000000" w:themeColor="text1"/>
                <w:sz w:val="22"/>
                <w:szCs w:val="22"/>
                <w:lang w:val="en-AU"/>
              </w:rPr>
            </m:ctrlPr>
          </m:sSubPr>
          <m:e>
            <m:r>
              <w:rPr>
                <w:rFonts w:ascii="Cambria Math" w:eastAsiaTheme="minorEastAsia" w:hAnsi="Cambria Math"/>
                <w:color w:val="000000" w:themeColor="text1"/>
                <w:sz w:val="22"/>
                <w:szCs w:val="22"/>
                <w:lang w:val="en-AU"/>
              </w:rPr>
              <m:t>p</m:t>
            </m:r>
          </m:e>
          <m:sub>
            <m:r>
              <w:rPr>
                <w:rFonts w:ascii="Cambria Math" w:eastAsiaTheme="minorEastAsia" w:hAnsi="Cambria Math"/>
                <w:color w:val="000000" w:themeColor="text1"/>
                <w:sz w:val="22"/>
                <w:szCs w:val="22"/>
                <w:lang w:val="en-AU"/>
              </w:rPr>
              <m:t>e</m:t>
            </m:r>
          </m:sub>
        </m:sSub>
        <m:r>
          <w:rPr>
            <w:rFonts w:ascii="Cambria Math" w:eastAsiaTheme="minorEastAsia" w:hAnsi="Cambria Math"/>
            <w:color w:val="000000" w:themeColor="text1"/>
            <w:sz w:val="22"/>
            <w:szCs w:val="22"/>
            <w:lang w:val="en-AU"/>
          </w:rPr>
          <m:t xml:space="preserve"> </m:t>
        </m:r>
      </m:oMath>
      <w:r w:rsidRPr="003F41FF">
        <w:rPr>
          <w:rFonts w:asciiTheme="minorHAnsi" w:eastAsiaTheme="minorEastAsia" w:hAnsiTheme="minorHAnsi"/>
          <w:color w:val="000000" w:themeColor="text1"/>
          <w:sz w:val="22"/>
          <w:szCs w:val="22"/>
          <w:lang w:val="en-AU"/>
        </w:rPr>
        <w:t xml:space="preserve">is the prevalence of the risk factor in the study population and AHR is the adjusted hazards ratio derived from the final multivariable model. </w:t>
      </w:r>
      <w:r w:rsidRPr="003F41FF">
        <w:rPr>
          <w:rFonts w:asciiTheme="minorHAnsi" w:hAnsiTheme="minorHAnsi"/>
          <w:color w:val="000000" w:themeColor="text1"/>
          <w:sz w:val="22"/>
          <w:szCs w:val="22"/>
          <w:lang w:val="en-AU"/>
        </w:rPr>
        <w:t xml:space="preserve">An overall PAR, which is non-additive, will be calculated as 1 minus the product of 1-each of the individual PAR </w:t>
      </w:r>
      <w:r>
        <w:rPr>
          <w:rFonts w:asciiTheme="minorHAnsi" w:hAnsiTheme="minorHAnsi"/>
          <w:color w:val="000000" w:themeColor="text1"/>
          <w:sz w:val="22"/>
          <w:szCs w:val="22"/>
          <w:lang w:val="en-AU"/>
        </w:rPr>
        <w:fldChar w:fldCharType="begin"/>
      </w:r>
      <w:r>
        <w:rPr>
          <w:rFonts w:asciiTheme="minorHAnsi" w:hAnsiTheme="minorHAnsi"/>
          <w:color w:val="000000" w:themeColor="text1"/>
          <w:sz w:val="22"/>
          <w:szCs w:val="22"/>
          <w:lang w:val="en-AU"/>
        </w:rPr>
        <w:instrText xml:space="preserve"> ADDIN EN.CITE &lt;EndNote&gt;&lt;Cite&gt;&lt;Author&gt;Price&lt;/Author&gt;&lt;Year&gt;2001&lt;/Year&gt;&lt;RecNum&gt;71&lt;/RecNum&gt;&lt;DisplayText&gt;(13)&lt;/DisplayText&gt;&lt;record&gt;&lt;rec-number&gt;71&lt;/rec-number&gt;&lt;foreign-keys&gt;&lt;key app="EN" db-id="zrz59pvfoxvewle2ee8xrwt2292evzwdsrse" timestamp="0"&gt;71&lt;/key&gt;&lt;/foreign-keys&gt;&lt;ref-type name="Journal Article"&gt;17&lt;/ref-type&gt;&lt;contributors&gt;&lt;authors&gt;&lt;author&gt;Price, R. N.&lt;/author&gt;&lt;author&gt;Simpson, J. A.&lt;/author&gt;&lt;author&gt;Nosten, F.&lt;/author&gt;&lt;author&gt;Luxemburger, C.&lt;/author&gt;&lt;author&gt;Hkirjaroen, L.&lt;/author&gt;&lt;author&gt;ter Kuile, F.&lt;/author&gt;&lt;author&gt;Chongsuphajaisiddhi, T.&lt;/author&gt;&lt;author&gt;White, N. J.&lt;/author&gt;&lt;/authors&gt;&lt;/contributors&gt;&lt;auth-address&gt;Shoklo Malaria Research Unit, Mae Sod, Tak Province, Thailand. ricprice@doctors.org.uk&lt;/auth-address&gt;&lt;titles&gt;&lt;title&gt;Factors contributing to anemia after uncomplicated falciparum malaria&lt;/title&gt;&lt;secondary-title&gt;Am J Trop Med Hyg&lt;/secondary-title&gt;&lt;/titles&gt;&lt;periodical&gt;&lt;full-title&gt;Am J Trop Med Hyg&lt;/full-title&gt;&lt;/periodical&gt;&lt;pages&gt;614-22&lt;/pages&gt;&lt;volume&gt;65&lt;/volume&gt;&lt;number&gt;5&lt;/number&gt;&lt;keywords&gt;&lt;keyword&gt;Adolescent&lt;/keyword&gt;&lt;keyword&gt;Adult&lt;/keyword&gt;&lt;keyword&gt;Aged&lt;/keyword&gt;&lt;keyword&gt;Anemia/*etiology&lt;/keyword&gt;&lt;keyword&gt;Child&lt;/keyword&gt;&lt;keyword&gt;Child, Preschool&lt;/keyword&gt;&lt;keyword&gt;Female&lt;/keyword&gt;&lt;keyword&gt;Follow-Up Studies&lt;/keyword&gt;&lt;keyword&gt;Hematocrit&lt;/keyword&gt;&lt;keyword&gt;Humans&lt;/keyword&gt;&lt;keyword&gt;Infant&lt;/keyword&gt;&lt;keyword&gt;Malaria, Falciparum/blood/*complications&lt;/keyword&gt;&lt;keyword&gt;Male&lt;/keyword&gt;&lt;keyword&gt;Middle Aged&lt;/keyword&gt;&lt;keyword&gt;Prospective Studies&lt;/keyword&gt;&lt;/keywords&gt;&lt;dates&gt;&lt;year&gt;2001&lt;/year&gt;&lt;pub-dates&gt;&lt;date&gt;Nov&lt;/date&gt;&lt;/pub-dates&gt;&lt;/dates&gt;&lt;isbn&gt;0002-9637 (Print)&amp;#xD;0002-9637 (Linking)&lt;/isbn&gt;&lt;accession-num&gt;11716124&lt;/accession-num&gt;&lt;urls&gt;&lt;related-urls&gt;&lt;url&gt;http://www.ncbi.nlm.nih.gov/pubmed/11716124&lt;/url&gt;&lt;/related-urls&gt;&lt;/urls&gt;&lt;custom2&gt;PMC4337986&lt;/custom2&gt;&lt;/record&gt;&lt;/Cite&gt;&lt;/EndNote&gt;</w:instrText>
      </w:r>
      <w:r>
        <w:rPr>
          <w:rFonts w:asciiTheme="minorHAnsi" w:hAnsiTheme="minorHAnsi"/>
          <w:color w:val="000000" w:themeColor="text1"/>
          <w:sz w:val="22"/>
          <w:szCs w:val="22"/>
          <w:lang w:val="en-AU"/>
        </w:rPr>
        <w:fldChar w:fldCharType="separate"/>
      </w:r>
      <w:r>
        <w:rPr>
          <w:rFonts w:asciiTheme="minorHAnsi" w:hAnsiTheme="minorHAnsi"/>
          <w:noProof/>
          <w:color w:val="000000" w:themeColor="text1"/>
          <w:sz w:val="22"/>
          <w:szCs w:val="22"/>
          <w:lang w:val="en-AU"/>
        </w:rPr>
        <w:t>(13)</w:t>
      </w:r>
      <w:r>
        <w:rPr>
          <w:rFonts w:asciiTheme="minorHAnsi" w:hAnsiTheme="minorHAnsi"/>
          <w:color w:val="000000" w:themeColor="text1"/>
          <w:sz w:val="22"/>
          <w:szCs w:val="22"/>
          <w:lang w:val="en-AU"/>
        </w:rPr>
        <w:fldChar w:fldCharType="end"/>
      </w:r>
      <w:r w:rsidRPr="003F41FF">
        <w:rPr>
          <w:rFonts w:asciiTheme="minorHAnsi" w:hAnsiTheme="minorHAnsi"/>
          <w:color w:val="000000" w:themeColor="text1"/>
          <w:sz w:val="22"/>
          <w:szCs w:val="22"/>
          <w:lang w:val="en-AU"/>
        </w:rPr>
        <w:t xml:space="preserve"> assuming the risk factors are independent. </w:t>
      </w:r>
    </w:p>
    <w:p w14:paraId="31CB437C" w14:textId="3D137E6B" w:rsidR="002456CC" w:rsidRPr="00122FA5" w:rsidRDefault="00122FA5" w:rsidP="00122FA5">
      <w:pPr>
        <w:spacing w:after="0"/>
        <w:ind w:left="774"/>
        <w:rPr>
          <w:rFonts w:asciiTheme="minorHAnsi" w:hAnsiTheme="minorHAnsi" w:cstheme="minorHAnsi"/>
          <w:color w:val="000000" w:themeColor="text1"/>
        </w:rPr>
      </w:pPr>
      <m:oMathPara>
        <m:oMath>
          <m:r>
            <w:rPr>
              <w:rFonts w:ascii="Cambria Math" w:hAnsi="Cambria Math"/>
              <w:color w:val="000000" w:themeColor="text1"/>
            </w:rPr>
            <m:t>Overall PAR=1-</m:t>
          </m:r>
          <m:nary>
            <m:naryPr>
              <m:chr m:val="∏"/>
              <m:limLoc m:val="undOvr"/>
              <m:ctrlPr>
                <w:rPr>
                  <w:rFonts w:ascii="Cambria Math" w:eastAsiaTheme="minorEastAsia" w:hAnsi="Cambria Math"/>
                  <w:i/>
                  <w:color w:val="000000" w:themeColor="text1"/>
                </w:rPr>
              </m:ctrlPr>
            </m:naryPr>
            <m:sub>
              <m:r>
                <w:rPr>
                  <w:rFonts w:ascii="Cambria Math" w:eastAsiaTheme="minorEastAsia" w:hAnsi="Cambria Math"/>
                  <w:color w:val="000000" w:themeColor="text1"/>
                </w:rPr>
                <m:t>i=1</m:t>
              </m:r>
            </m:sub>
            <m:sup>
              <m:r>
                <w:rPr>
                  <w:rFonts w:ascii="Cambria Math" w:eastAsiaTheme="minorEastAsia" w:hAnsi="Cambria Math"/>
                  <w:color w:val="000000" w:themeColor="text1"/>
                </w:rPr>
                <m:t>n</m:t>
              </m:r>
            </m:sup>
            <m:e>
              <m:r>
                <w:rPr>
                  <w:rFonts w:ascii="Cambria Math" w:eastAsiaTheme="minorEastAsia" w:hAnsi="Cambria Math"/>
                  <w:color w:val="000000" w:themeColor="text1"/>
                </w:rPr>
                <m:t>(1-PA</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R</m:t>
                  </m:r>
                </m:e>
                <m:sub>
                  <m:r>
                    <w:rPr>
                      <w:rFonts w:ascii="Cambria Math" w:eastAsiaTheme="minorEastAsia" w:hAnsi="Cambria Math"/>
                      <w:color w:val="000000" w:themeColor="text1"/>
                    </w:rPr>
                    <m:t>i</m:t>
                  </m:r>
                </m:sub>
              </m:sSub>
              <m:r>
                <w:rPr>
                  <w:rFonts w:ascii="Cambria Math" w:eastAsiaTheme="minorEastAsia" w:hAnsi="Cambria Math"/>
                  <w:color w:val="000000" w:themeColor="text1"/>
                </w:rPr>
                <m:t>)</m:t>
              </m:r>
            </m:e>
          </m:nary>
        </m:oMath>
      </m:oMathPara>
    </w:p>
    <w:p w14:paraId="6A12E127" w14:textId="77777777" w:rsidR="00122FA5" w:rsidRPr="00122FA5" w:rsidRDefault="00122FA5" w:rsidP="00122FA5">
      <w:pPr>
        <w:spacing w:after="0"/>
        <w:rPr>
          <w:rFonts w:asciiTheme="minorHAnsi" w:hAnsiTheme="minorHAnsi" w:cstheme="minorHAnsi"/>
          <w:color w:val="000000" w:themeColor="text1"/>
        </w:rPr>
      </w:pPr>
    </w:p>
    <w:p w14:paraId="3BF5BE68" w14:textId="38686A30" w:rsidR="002456CC" w:rsidRPr="002456CC" w:rsidRDefault="002456CC" w:rsidP="002456CC">
      <w:pPr>
        <w:pStyle w:val="ListParagraph"/>
        <w:numPr>
          <w:ilvl w:val="1"/>
          <w:numId w:val="4"/>
        </w:numPr>
        <w:spacing w:after="0"/>
        <w:ind w:left="1134"/>
        <w:rPr>
          <w:rFonts w:asciiTheme="minorHAnsi" w:hAnsiTheme="minorHAnsi" w:cstheme="minorHAnsi"/>
          <w:color w:val="000000" w:themeColor="text1"/>
        </w:rPr>
      </w:pPr>
      <w:r w:rsidRPr="002456CC">
        <w:rPr>
          <w:rFonts w:asciiTheme="minorHAnsi" w:hAnsiTheme="minorHAnsi"/>
          <w:color w:val="000000" w:themeColor="text1"/>
        </w:rPr>
        <w:t xml:space="preserve">The value of the mg/kg drug dosage which maximizes the log-likelihood statistics in Cox’s model will be identified as the optimal threshold based on 1,000 bootstrap samples. This will be carried out separately at day 28 and day 42. </w:t>
      </w:r>
    </w:p>
    <w:p w14:paraId="5D9667C2" w14:textId="77777777" w:rsidR="002456CC" w:rsidRPr="003F41FF" w:rsidRDefault="002456CC" w:rsidP="002456CC">
      <w:pPr>
        <w:pStyle w:val="Default"/>
        <w:spacing w:line="276" w:lineRule="auto"/>
        <w:rPr>
          <w:rFonts w:asciiTheme="minorHAnsi" w:hAnsiTheme="minorHAnsi"/>
          <w:color w:val="000000" w:themeColor="text1"/>
          <w:sz w:val="22"/>
          <w:szCs w:val="22"/>
          <w:lang w:val="en-AU"/>
        </w:rPr>
      </w:pPr>
    </w:p>
    <w:p w14:paraId="18BE8C9B" w14:textId="77777777" w:rsidR="002456CC" w:rsidRDefault="002456CC" w:rsidP="002456CC">
      <w:pPr>
        <w:pStyle w:val="ListParagraph"/>
        <w:spacing w:after="0"/>
        <w:ind w:left="1134"/>
        <w:rPr>
          <w:rFonts w:asciiTheme="minorHAnsi" w:hAnsiTheme="minorHAnsi"/>
          <w:color w:val="000000" w:themeColor="text1"/>
        </w:rPr>
      </w:pPr>
      <w:r w:rsidRPr="003F41FF">
        <w:rPr>
          <w:rFonts w:asciiTheme="minorHAnsi" w:hAnsiTheme="minorHAnsi"/>
          <w:color w:val="000000" w:themeColor="text1"/>
        </w:rPr>
        <w:t xml:space="preserve">The use of Logrank statistics to define the breakpoint will be explored. The value of the drug dosage which maximizes the logrank statistics will be identified as the optimal threshold </w:t>
      </w:r>
      <w:r>
        <w:rPr>
          <w:rFonts w:asciiTheme="minorHAnsi" w:hAnsiTheme="minorHAnsi"/>
          <w:color w:val="000000" w:themeColor="text1"/>
        </w:rPr>
        <w:fldChar w:fldCharType="begin"/>
      </w:r>
      <w:r>
        <w:rPr>
          <w:rFonts w:asciiTheme="minorHAnsi" w:hAnsiTheme="minorHAnsi"/>
          <w:color w:val="000000" w:themeColor="text1"/>
        </w:rPr>
        <w:instrText xml:space="preserve"> ADDIN EN.CITE &lt;EndNote&gt;&lt;Cite&gt;&lt;Author&gt;Contal&lt;/Author&gt;&lt;Year&gt;1999&lt;/Year&gt;&lt;RecNum&gt;73&lt;/RecNum&gt;&lt;DisplayText&gt;(14)&lt;/DisplayText&gt;&lt;record&gt;&lt;rec-number&gt;73&lt;/rec-number&gt;&lt;foreign-keys&gt;&lt;key app="EN" db-id="zrz59pvfoxvewle2ee8xrwt2292evzwdsrse" timestamp="0"&gt;73&lt;/key&gt;&lt;/foreign-keys&gt;&lt;ref-type name="Journal Article"&gt;17&lt;/ref-type&gt;&lt;contributors&gt;&lt;authors&gt;&lt;author&gt;Contal, C&lt;/author&gt;&lt;author&gt;O&amp;apos;Quigley, J&lt;/author&gt;&lt;/authors&gt;&lt;/contributors&gt;&lt;titles&gt;&lt;title&gt;An application of changepoint methods in studying the effet of age on survival in breast cancer&lt;/title&gt;&lt;secondary-title&gt;Computational Statistics and Data Analysis&lt;/secondary-title&gt;&lt;/titles&gt;&lt;pages&gt;253-270&lt;/pages&gt;&lt;volume&gt;30&lt;/volume&gt;&lt;dates&gt;&lt;year&gt;1999&lt;/year&gt;&lt;/dates&gt;&lt;urls&gt;&lt;/urls&gt;&lt;/record&gt;&lt;/Cite&gt;&lt;/EndNote&gt;</w:instrText>
      </w:r>
      <w:r>
        <w:rPr>
          <w:rFonts w:asciiTheme="minorHAnsi" w:hAnsiTheme="minorHAnsi"/>
          <w:color w:val="000000" w:themeColor="text1"/>
        </w:rPr>
        <w:fldChar w:fldCharType="separate"/>
      </w:r>
      <w:r>
        <w:rPr>
          <w:rFonts w:asciiTheme="minorHAnsi" w:hAnsiTheme="minorHAnsi"/>
          <w:noProof/>
          <w:color w:val="000000" w:themeColor="text1"/>
        </w:rPr>
        <w:t>(14)</w:t>
      </w:r>
      <w:r>
        <w:rPr>
          <w:rFonts w:asciiTheme="minorHAnsi" w:hAnsiTheme="minorHAnsi"/>
          <w:color w:val="000000" w:themeColor="text1"/>
        </w:rPr>
        <w:fldChar w:fldCharType="end"/>
      </w:r>
      <w:r w:rsidRPr="003F41FF">
        <w:rPr>
          <w:rFonts w:asciiTheme="minorHAnsi" w:hAnsiTheme="minorHAnsi"/>
          <w:color w:val="000000" w:themeColor="text1"/>
        </w:rPr>
        <w:t>. The suitability of Receiving Operating Characteristics Curves (ROCs) for finding the optimal cutpoints for mg/kg chloroquine or ACT and primaquine dosage which best differentiates the PCR adjusted failure will be explored. The optimal cutoff point will be defined as the maximum value of Youden’s Index (</w:t>
      </w:r>
      <w:r w:rsidRPr="003F41FF">
        <w:rPr>
          <w:rFonts w:asciiTheme="minorHAnsi" w:hAnsiTheme="minorHAnsi"/>
          <w:i/>
          <w:iCs/>
          <w:color w:val="000000" w:themeColor="text1"/>
        </w:rPr>
        <w:t>J</w:t>
      </w:r>
      <w:r w:rsidRPr="003F41FF">
        <w:rPr>
          <w:rFonts w:asciiTheme="minorHAnsi" w:hAnsiTheme="minorHAnsi"/>
          <w:color w:val="000000" w:themeColor="text1"/>
        </w:rPr>
        <w:t xml:space="preserve">), which is sensitivity+ specificity-1 </w:t>
      </w:r>
      <w:r>
        <w:rPr>
          <w:rFonts w:asciiTheme="minorHAnsi" w:hAnsiTheme="minorHAnsi"/>
          <w:color w:val="000000" w:themeColor="text1"/>
        </w:rPr>
        <w:fldChar w:fldCharType="begin">
          <w:fldData xml:space="preserve">PEVuZE5vdGU+PENpdGU+PEF1dGhvcj5QcmljZTwvQXV0aG9yPjxZZWFyPjIwMDc8L1llYXI+PFJl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</w:fldData>
        </w:fldChar>
      </w:r>
      <w:r>
        <w:rPr>
          <w:rFonts w:asciiTheme="minorHAnsi" w:hAnsiTheme="minorHAnsi"/>
          <w:color w:val="000000" w:themeColor="text1"/>
        </w:rPr>
        <w:instrText xml:space="preserve"> ADDIN EN.CITE </w:instrText>
      </w:r>
      <w:r>
        <w:rPr>
          <w:rFonts w:asciiTheme="minorHAnsi" w:hAnsiTheme="minorHAnsi"/>
          <w:color w:val="000000" w:themeColor="text1"/>
        </w:rPr>
        <w:fldChar w:fldCharType="begin">
          <w:fldData xml:space="preserve">PEVuZE5vdGU+PENpdGU+PEF1dGhvcj5QcmljZTwvQXV0aG9yPjxZZWFyPjIwMDc8L1llYXI+PFJl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</w:fldData>
        </w:fldChar>
      </w:r>
      <w:r>
        <w:rPr>
          <w:rFonts w:asciiTheme="minorHAnsi" w:hAnsiTheme="minorHAnsi"/>
          <w:color w:val="000000" w:themeColor="text1"/>
        </w:rPr>
        <w:instrText xml:space="preserve"> ADDIN EN.CITE.DATA </w:instrText>
      </w:r>
      <w:r>
        <w:rPr>
          <w:rFonts w:asciiTheme="minorHAnsi" w:hAnsiTheme="minorHAnsi"/>
          <w:color w:val="000000" w:themeColor="text1"/>
        </w:rPr>
      </w:r>
      <w:r>
        <w:rPr>
          <w:rFonts w:asciiTheme="minorHAnsi" w:hAnsiTheme="minorHAnsi"/>
          <w:color w:val="000000" w:themeColor="text1"/>
        </w:rPr>
        <w:fldChar w:fldCharType="end"/>
      </w:r>
      <w:r>
        <w:rPr>
          <w:rFonts w:asciiTheme="minorHAnsi" w:hAnsiTheme="minorHAnsi"/>
          <w:color w:val="000000" w:themeColor="text1"/>
        </w:rPr>
      </w:r>
      <w:r>
        <w:rPr>
          <w:rFonts w:asciiTheme="minorHAnsi" w:hAnsiTheme="minorHAnsi"/>
          <w:color w:val="000000" w:themeColor="text1"/>
        </w:rPr>
        <w:fldChar w:fldCharType="separate"/>
      </w:r>
      <w:r>
        <w:rPr>
          <w:rFonts w:asciiTheme="minorHAnsi" w:hAnsiTheme="minorHAnsi"/>
          <w:noProof/>
          <w:color w:val="000000" w:themeColor="text1"/>
        </w:rPr>
        <w:t>(15)</w:t>
      </w:r>
      <w:r>
        <w:rPr>
          <w:rFonts w:asciiTheme="minorHAnsi" w:hAnsiTheme="minorHAnsi"/>
          <w:color w:val="000000" w:themeColor="text1"/>
        </w:rPr>
        <w:fldChar w:fldCharType="end"/>
      </w:r>
      <w:r w:rsidRPr="003F41FF">
        <w:rPr>
          <w:rFonts w:asciiTheme="minorHAnsi" w:hAnsiTheme="minorHAnsi"/>
          <w:color w:val="000000" w:themeColor="text1"/>
        </w:rPr>
        <w:t xml:space="preserve">. </w:t>
      </w:r>
      <w:r w:rsidRPr="003F41FF">
        <w:rPr>
          <w:rFonts w:asciiTheme="minorHAnsi" w:hAnsiTheme="minorHAnsi"/>
        </w:rPr>
        <w:t xml:space="preserve">This will be carried out by categorising each patient as Failure (1/0) on day 28 (or day 42). Patients who were lost to follow up will be excluded. The mg/kg cut offs will be defined separately for early and late </w:t>
      </w:r>
      <w:r w:rsidRPr="003F41FF">
        <w:rPr>
          <w:rFonts w:asciiTheme="minorHAnsi" w:hAnsiTheme="minorHAnsi"/>
          <w:i/>
          <w:iCs/>
        </w:rPr>
        <w:t xml:space="preserve">P. vivax </w:t>
      </w:r>
      <w:r w:rsidRPr="003F41FF">
        <w:rPr>
          <w:rFonts w:asciiTheme="minorHAnsi" w:hAnsiTheme="minorHAnsi"/>
        </w:rPr>
        <w:t xml:space="preserve">recurrence. </w:t>
      </w:r>
      <w:r w:rsidRPr="003F41FF">
        <w:rPr>
          <w:rFonts w:asciiTheme="minorHAnsi" w:hAnsiTheme="minorHAnsi"/>
          <w:color w:val="000000" w:themeColor="text1"/>
        </w:rPr>
        <w:t xml:space="preserve"> Alternative methods for determining the optimal cutoff will also be explored (e.g. data driven methods such as percentiles).</w:t>
      </w:r>
    </w:p>
    <w:p w14:paraId="516F4FB9" w14:textId="77777777" w:rsidR="00122FA5" w:rsidRDefault="00122FA5" w:rsidP="002456CC">
      <w:pPr>
        <w:pStyle w:val="ListParagraph"/>
        <w:spacing w:after="0"/>
        <w:ind w:left="1134"/>
        <w:rPr>
          <w:rFonts w:asciiTheme="minorHAnsi" w:hAnsiTheme="minorHAnsi"/>
          <w:color w:val="000000" w:themeColor="text1"/>
        </w:rPr>
      </w:pPr>
    </w:p>
    <w:p w14:paraId="3652581B" w14:textId="4E0F6ADC" w:rsidR="00122FA5" w:rsidRPr="00122FA5" w:rsidRDefault="00122FA5" w:rsidP="00122FA5">
      <w:pPr>
        <w:pStyle w:val="Default"/>
        <w:spacing w:line="276" w:lineRule="auto"/>
        <w:ind w:left="1134"/>
        <w:rPr>
          <w:rFonts w:asciiTheme="minorHAnsi" w:hAnsiTheme="minorHAnsi"/>
          <w:color w:val="000000" w:themeColor="text1"/>
          <w:sz w:val="22"/>
          <w:szCs w:val="22"/>
          <w:lang w:val="en-AU"/>
        </w:rPr>
      </w:pPr>
      <w:r w:rsidRPr="00122FA5">
        <w:rPr>
          <w:rFonts w:asciiTheme="minorHAnsi" w:hAnsiTheme="minorHAnsi" w:cstheme="minorHAnsi"/>
          <w:color w:val="000000" w:themeColor="text1"/>
          <w:sz w:val="22"/>
          <w:szCs w:val="22"/>
        </w:rPr>
        <w:t xml:space="preserve">Using the breakpoint for mg/kg dosing and the population attributable risk </w:t>
      </w:r>
      <w:r w:rsidRPr="00122FA5">
        <w:rPr>
          <w:rFonts w:asciiTheme="minorHAnsi" w:hAnsiTheme="minorHAnsi"/>
          <w:color w:val="000000" w:themeColor="text1"/>
          <w:sz w:val="22"/>
          <w:szCs w:val="22"/>
          <w:lang w:val="en-AU"/>
        </w:rPr>
        <w:t>the number of patients who failed treatment due to the under dosing globally can</w:t>
      </w:r>
      <w:r>
        <w:rPr>
          <w:rFonts w:asciiTheme="minorHAnsi" w:hAnsiTheme="minorHAnsi"/>
          <w:color w:val="000000" w:themeColor="text1"/>
          <w:sz w:val="22"/>
          <w:szCs w:val="22"/>
          <w:lang w:val="en-AU"/>
        </w:rPr>
        <w:t xml:space="preserve"> then be estimated.</w:t>
      </w:r>
    </w:p>
    <w:p w14:paraId="7C450948" w14:textId="77777777" w:rsidR="002456CC" w:rsidRDefault="002456CC" w:rsidP="002456CC">
      <w:pPr>
        <w:pStyle w:val="ListParagraph"/>
        <w:spacing w:after="0"/>
        <w:ind w:left="1134"/>
        <w:rPr>
          <w:rFonts w:asciiTheme="minorHAnsi" w:hAnsiTheme="minorHAnsi"/>
          <w:color w:val="000000" w:themeColor="text1"/>
        </w:rPr>
      </w:pPr>
    </w:p>
    <w:p w14:paraId="388D65BB" w14:textId="6124CFA1" w:rsidR="002456CC" w:rsidRPr="00122FA5" w:rsidRDefault="002456CC" w:rsidP="002456CC">
      <w:pPr>
        <w:pStyle w:val="ListParagraph"/>
        <w:numPr>
          <w:ilvl w:val="0"/>
          <w:numId w:val="14"/>
        </w:numPr>
        <w:spacing w:after="0"/>
        <w:rPr>
          <w:rFonts w:asciiTheme="minorHAnsi" w:hAnsiTheme="minorHAnsi" w:cstheme="minorHAnsi"/>
          <w:color w:val="000000" w:themeColor="text1"/>
        </w:rPr>
      </w:pPr>
      <w:r>
        <w:rPr>
          <w:rFonts w:asciiTheme="minorHAnsi" w:hAnsiTheme="minorHAnsi"/>
          <w:color w:val="000000" w:themeColor="text1"/>
        </w:rPr>
        <w:t>Using</w:t>
      </w:r>
      <w:r w:rsidRPr="003F41FF">
        <w:rPr>
          <w:rFonts w:asciiTheme="minorHAnsi" w:hAnsiTheme="minorHAnsi"/>
          <w:color w:val="000000" w:themeColor="text1"/>
        </w:rPr>
        <w:t xml:space="preserve"> </w:t>
      </w:r>
      <w:r>
        <w:rPr>
          <w:rFonts w:asciiTheme="minorHAnsi" w:hAnsiTheme="minorHAnsi"/>
          <w:color w:val="000000" w:themeColor="text1"/>
        </w:rPr>
        <w:t xml:space="preserve">the </w:t>
      </w:r>
      <w:r w:rsidRPr="003F41FF">
        <w:rPr>
          <w:rFonts w:asciiTheme="minorHAnsi" w:hAnsiTheme="minorHAnsi"/>
          <w:color w:val="000000" w:themeColor="text1"/>
        </w:rPr>
        <w:t xml:space="preserve">final multivariate model, the effect of increasing the drug dose of chloroquine (mg/kg) </w:t>
      </w:r>
      <w:r>
        <w:rPr>
          <w:rFonts w:asciiTheme="minorHAnsi" w:hAnsiTheme="minorHAnsi"/>
          <w:color w:val="000000" w:themeColor="text1"/>
        </w:rPr>
        <w:t xml:space="preserve">on the predicted risk of recurrence by day 28 and 42 </w:t>
      </w:r>
      <w:r w:rsidRPr="003F41FF">
        <w:rPr>
          <w:rFonts w:asciiTheme="minorHAnsi" w:hAnsiTheme="minorHAnsi"/>
          <w:color w:val="000000" w:themeColor="text1"/>
        </w:rPr>
        <w:t>will be calculated for every 2.5 unit increase starting from 12.5 mg/kg. The 95th percentile of</w:t>
      </w:r>
      <w:r>
        <w:rPr>
          <w:rFonts w:asciiTheme="minorHAnsi" w:hAnsiTheme="minorHAnsi"/>
          <w:color w:val="000000" w:themeColor="text1"/>
        </w:rPr>
        <w:t xml:space="preserve"> this</w:t>
      </w:r>
      <w:r w:rsidRPr="003F41FF">
        <w:rPr>
          <w:rFonts w:asciiTheme="minorHAnsi" w:hAnsiTheme="minorHAnsi"/>
          <w:color w:val="000000" w:themeColor="text1"/>
        </w:rPr>
        <w:t xml:space="preserve"> predicted risk will then be computed for each mg/kg dosage of chloroquine </w:t>
      </w:r>
      <w:r>
        <w:rPr>
          <w:rFonts w:asciiTheme="minorHAnsi" w:hAnsiTheme="minorHAnsi"/>
          <w:color w:val="000000" w:themeColor="text1"/>
        </w:rPr>
        <w:t xml:space="preserve">using each patient’s individual covariates </w:t>
      </w:r>
      <w:r w:rsidRPr="003F41FF">
        <w:rPr>
          <w:rFonts w:asciiTheme="minorHAnsi" w:hAnsiTheme="minorHAnsi"/>
          <w:color w:val="000000" w:themeColor="text1"/>
        </w:rPr>
        <w:t>at average random effect. The dose which results in the 95</w:t>
      </w:r>
      <w:r w:rsidRPr="003F41FF">
        <w:rPr>
          <w:rFonts w:asciiTheme="minorHAnsi" w:hAnsiTheme="minorHAnsi"/>
          <w:color w:val="000000" w:themeColor="text1"/>
          <w:vertAlign w:val="superscript"/>
        </w:rPr>
        <w:t>th</w:t>
      </w:r>
      <w:r w:rsidRPr="003F41FF">
        <w:rPr>
          <w:rFonts w:asciiTheme="minorHAnsi" w:hAnsiTheme="minorHAnsi"/>
          <w:color w:val="000000" w:themeColor="text1"/>
          <w:sz w:val="14"/>
          <w:szCs w:val="14"/>
        </w:rPr>
        <w:t xml:space="preserve"> </w:t>
      </w:r>
      <w:r w:rsidRPr="003F41FF">
        <w:rPr>
          <w:rFonts w:asciiTheme="minorHAnsi" w:hAnsiTheme="minorHAnsi"/>
          <w:color w:val="000000" w:themeColor="text1"/>
        </w:rPr>
        <w:t>percentile of the predicted risk to be &lt;5% i.e. estimated efficacy to be &gt;=95% will be reported.</w:t>
      </w:r>
    </w:p>
    <w:p w14:paraId="556CED61" w14:textId="7E75F0C5" w:rsidR="00122FA5" w:rsidRPr="003F41FF" w:rsidRDefault="00122FA5" w:rsidP="00122FA5">
      <w:pPr>
        <w:pStyle w:val="ListParagraph"/>
        <w:spacing w:after="0"/>
        <w:ind w:left="1080"/>
        <w:rPr>
          <w:rFonts w:asciiTheme="minorHAnsi" w:hAnsiTheme="minorHAnsi" w:cstheme="minorHAnsi"/>
          <w:color w:val="000000" w:themeColor="text1"/>
        </w:rPr>
      </w:pPr>
    </w:p>
    <w:p w14:paraId="0BC9AF15" w14:textId="77777777" w:rsidR="00457F3C" w:rsidRPr="003F41FF" w:rsidRDefault="00457F3C" w:rsidP="00457F3C">
      <w:pPr>
        <w:rPr>
          <w:rFonts w:asciiTheme="minorHAnsi" w:hAnsiTheme="minorHAnsi" w:cstheme="minorHAnsi"/>
          <w:color w:val="000000" w:themeColor="text1"/>
          <w:lang w:val="en-AU"/>
        </w:rPr>
      </w:pPr>
    </w:p>
    <w:p w14:paraId="534E6D01" w14:textId="77777777" w:rsidR="00457F3C" w:rsidRPr="0041682F" w:rsidRDefault="00457F3C" w:rsidP="00457F3C">
      <w:pPr>
        <w:pStyle w:val="ListParagraph"/>
        <w:numPr>
          <w:ilvl w:val="1"/>
          <w:numId w:val="8"/>
        </w:numPr>
        <w:spacing w:after="0"/>
        <w:rPr>
          <w:rFonts w:asciiTheme="minorHAnsi" w:hAnsiTheme="minorHAnsi" w:cstheme="minorHAnsi"/>
          <w:i/>
          <w:color w:val="000000" w:themeColor="text1"/>
        </w:rPr>
      </w:pPr>
      <w:r w:rsidRPr="0041682F">
        <w:rPr>
          <w:rFonts w:asciiTheme="minorHAnsi" w:hAnsiTheme="minorHAnsi" w:cstheme="minorHAnsi"/>
          <w:i/>
          <w:color w:val="000000" w:themeColor="text1"/>
        </w:rPr>
        <w:t>Parasite clearance following treatment</w:t>
      </w:r>
    </w:p>
    <w:p w14:paraId="02B897EF" w14:textId="7D59BBBD" w:rsidR="00457F3C" w:rsidRPr="003F41FF" w:rsidRDefault="00457F3C" w:rsidP="00457F3C">
      <w:pPr>
        <w:ind w:left="720"/>
        <w:rPr>
          <w:rFonts w:asciiTheme="minorHAnsi" w:hAnsiTheme="minorHAnsi"/>
          <w:color w:val="000000" w:themeColor="text1"/>
          <w:lang w:val="en-AU"/>
        </w:rPr>
      </w:pPr>
      <w:r w:rsidRPr="003F41FF">
        <w:rPr>
          <w:rFonts w:asciiTheme="minorHAnsi" w:hAnsiTheme="minorHAnsi"/>
          <w:color w:val="000000" w:themeColor="text1"/>
          <w:lang w:val="en-AU"/>
        </w:rPr>
        <w:t>The proportio</w:t>
      </w:r>
      <w:r w:rsidR="008E352A">
        <w:rPr>
          <w:rFonts w:asciiTheme="minorHAnsi" w:hAnsiTheme="minorHAnsi"/>
          <w:color w:val="000000" w:themeColor="text1"/>
          <w:lang w:val="en-AU"/>
        </w:rPr>
        <w:t xml:space="preserve">ns of patients </w:t>
      </w:r>
      <w:r w:rsidR="00F25944">
        <w:rPr>
          <w:rFonts w:asciiTheme="minorHAnsi" w:hAnsiTheme="minorHAnsi"/>
          <w:color w:val="000000" w:themeColor="text1"/>
          <w:lang w:val="en-AU"/>
        </w:rPr>
        <w:t>positive for parasitaemia</w:t>
      </w:r>
      <w:r w:rsidR="008E352A">
        <w:rPr>
          <w:rFonts w:asciiTheme="minorHAnsi" w:hAnsiTheme="minorHAnsi"/>
          <w:color w:val="000000" w:themeColor="text1"/>
          <w:lang w:val="en-AU"/>
        </w:rPr>
        <w:t xml:space="preserve"> at </w:t>
      </w:r>
      <w:r w:rsidR="00F25944">
        <w:rPr>
          <w:rFonts w:asciiTheme="minorHAnsi" w:hAnsiTheme="minorHAnsi"/>
          <w:color w:val="000000" w:themeColor="text1"/>
          <w:lang w:val="en-AU"/>
        </w:rPr>
        <w:t xml:space="preserve">both </w:t>
      </w:r>
      <w:r w:rsidR="00A159E7">
        <w:rPr>
          <w:rFonts w:asciiTheme="minorHAnsi" w:hAnsiTheme="minorHAnsi"/>
          <w:color w:val="000000" w:themeColor="text1"/>
          <w:lang w:val="en-AU"/>
        </w:rPr>
        <w:t xml:space="preserve">day 1, </w:t>
      </w:r>
      <w:r w:rsidRPr="003F41FF">
        <w:rPr>
          <w:rFonts w:asciiTheme="minorHAnsi" w:hAnsiTheme="minorHAnsi"/>
          <w:color w:val="000000" w:themeColor="text1"/>
          <w:lang w:val="en-AU"/>
        </w:rPr>
        <w:t>2</w:t>
      </w:r>
      <w:r w:rsidR="00A159E7">
        <w:rPr>
          <w:rFonts w:asciiTheme="minorHAnsi" w:hAnsiTheme="minorHAnsi"/>
          <w:color w:val="000000" w:themeColor="text1"/>
          <w:lang w:val="en-AU"/>
        </w:rPr>
        <w:t xml:space="preserve"> and 3</w:t>
      </w:r>
      <w:r w:rsidRPr="003F41FF">
        <w:rPr>
          <w:rFonts w:asciiTheme="minorHAnsi" w:hAnsiTheme="minorHAnsi"/>
          <w:color w:val="000000" w:themeColor="text1"/>
          <w:lang w:val="en-AU"/>
        </w:rPr>
        <w:t xml:space="preserve"> will be assessed</w:t>
      </w:r>
      <w:r w:rsidR="00F25944">
        <w:rPr>
          <w:rFonts w:asciiTheme="minorHAnsi" w:hAnsiTheme="minorHAnsi"/>
          <w:color w:val="000000" w:themeColor="text1"/>
          <w:lang w:val="en-AU"/>
        </w:rPr>
        <w:t xml:space="preserve"> separately</w:t>
      </w:r>
      <w:r w:rsidRPr="003F41FF">
        <w:rPr>
          <w:rFonts w:asciiTheme="minorHAnsi" w:hAnsiTheme="minorHAnsi"/>
          <w:color w:val="000000" w:themeColor="text1"/>
          <w:lang w:val="en-AU"/>
        </w:rPr>
        <w:t xml:space="preserve">. Definitions are detailed on page 15 of the Clinical Module DMSAP v1.2 </w:t>
      </w:r>
      <w:r>
        <w:rPr>
          <w:rFonts w:asciiTheme="minorHAnsi" w:hAnsiTheme="minorHAnsi"/>
          <w:color w:val="000000" w:themeColor="text1"/>
          <w:lang w:val="en-AU"/>
        </w:rPr>
        <w:fldChar w:fldCharType="begin"/>
      </w:r>
      <w:r w:rsidR="00A4255F">
        <w:rPr>
          <w:rFonts w:asciiTheme="minorHAnsi" w:hAnsiTheme="minorHAnsi"/>
          <w:color w:val="000000" w:themeColor="text1"/>
          <w:lang w:val="en-AU"/>
        </w:rPr>
        <w:instrText xml:space="preserve"> ADDIN EN.CITE &lt;EndNote&gt;&lt;Cite&gt;&lt;Author&gt;WorldWide Antimalarial Resistance Network&lt;/Author&gt;&lt;Year&gt;2012&lt;/Year&gt;&lt;RecNum&gt;56&lt;/RecNum&gt;&lt;DisplayText&gt;(1)&lt;/DisplayText&gt;&lt;record&gt;&lt;rec-number&gt;56&lt;/rec-number&gt;&lt;foreign-keys&gt;&lt;key app="EN" db-id="zrz59pvfoxvewle2ee8xrwt2292evzwdsrse" timestamp="0"&gt;56&lt;/key&gt;&lt;/foreign-keys&gt;&lt;ref-type name="Report"&gt;27&lt;/ref-type&gt;&lt;contributors&gt;&lt;authors&gt;&lt;author&gt;WorldWide Antimalarial Resistance Network,&lt;/author&gt;&lt;/authors&gt;&lt;tertiary-authors&gt;&lt;author&gt;WWARN&lt;/author&gt;&lt;/tertiary-authors&gt;&lt;/contributors&gt;&lt;titles&gt;&lt;title&gt;Data Management and Statistical Analysis Plan v1.2&lt;/title&gt;&lt;/titles&gt;&lt;dates&gt;&lt;year&gt;2012&lt;/year&gt;&lt;/dates&gt;&lt;pub-location&gt;Oxford&lt;/pub-location&gt;&lt;urls&gt;&lt;related-urls&gt;&lt;url&gt;http://www.wwarn.org/sites/default/files/ClinicalDMSAP.pdf&lt;/url&gt;&lt;/related-urls&gt;&lt;/urls&gt;&lt;access-date&gt;31 July 2016&lt;/access-date&gt;&lt;/record&gt;&lt;/Cite&gt;&lt;/EndNote&gt;</w:instrText>
      </w:r>
      <w:r>
        <w:rPr>
          <w:rFonts w:asciiTheme="minorHAnsi" w:hAnsiTheme="minorHAnsi"/>
          <w:color w:val="000000" w:themeColor="text1"/>
          <w:lang w:val="en-AU"/>
        </w:rPr>
        <w:fldChar w:fldCharType="separate"/>
      </w:r>
      <w:r w:rsidR="00A4255F">
        <w:rPr>
          <w:rFonts w:asciiTheme="minorHAnsi" w:hAnsiTheme="minorHAnsi"/>
          <w:noProof/>
          <w:color w:val="000000" w:themeColor="text1"/>
          <w:lang w:val="en-AU"/>
        </w:rPr>
        <w:t>(1)</w:t>
      </w:r>
      <w:r>
        <w:rPr>
          <w:rFonts w:asciiTheme="minorHAnsi" w:hAnsiTheme="minorHAnsi"/>
          <w:color w:val="000000" w:themeColor="text1"/>
          <w:lang w:val="en-AU"/>
        </w:rPr>
        <w:fldChar w:fldCharType="end"/>
      </w:r>
      <w:r w:rsidRPr="003F41FF">
        <w:rPr>
          <w:rFonts w:asciiTheme="minorHAnsi" w:hAnsiTheme="minorHAnsi"/>
          <w:color w:val="000000" w:themeColor="text1"/>
          <w:lang w:val="en-AU"/>
        </w:rPr>
        <w:t xml:space="preserve">. The proportions of patients with </w:t>
      </w:r>
      <w:r w:rsidR="00FD126B">
        <w:rPr>
          <w:rFonts w:asciiTheme="minorHAnsi" w:hAnsiTheme="minorHAnsi"/>
          <w:color w:val="000000" w:themeColor="text1"/>
          <w:lang w:val="en-AU"/>
        </w:rPr>
        <w:t>positive parasitaemia at day 1 and 2</w:t>
      </w:r>
      <w:r w:rsidRPr="003F41FF">
        <w:rPr>
          <w:rFonts w:asciiTheme="minorHAnsi" w:hAnsiTheme="minorHAnsi"/>
          <w:color w:val="000000" w:themeColor="text1"/>
          <w:lang w:val="en-AU"/>
        </w:rPr>
        <w:t xml:space="preserve"> (Parasite Positivity </w:t>
      </w:r>
      <w:r w:rsidR="000070BB">
        <w:rPr>
          <w:rFonts w:asciiTheme="minorHAnsi" w:hAnsiTheme="minorHAnsi"/>
          <w:color w:val="000000" w:themeColor="text1"/>
          <w:lang w:val="en-AU"/>
        </w:rPr>
        <w:t>Proportion</w:t>
      </w:r>
      <w:r w:rsidRPr="003F41FF">
        <w:rPr>
          <w:rFonts w:asciiTheme="minorHAnsi" w:hAnsiTheme="minorHAnsi"/>
          <w:color w:val="000000" w:themeColor="text1"/>
          <w:lang w:val="en-AU"/>
        </w:rPr>
        <w:t xml:space="preserve">, </w:t>
      </w:r>
      <w:r w:rsidR="000070BB">
        <w:rPr>
          <w:rFonts w:asciiTheme="minorHAnsi" w:hAnsiTheme="minorHAnsi"/>
          <w:b/>
          <w:bCs/>
          <w:color w:val="000000" w:themeColor="text1"/>
          <w:lang w:val="en-AU"/>
        </w:rPr>
        <w:t>PPP</w:t>
      </w:r>
      <w:r w:rsidRPr="003F41FF">
        <w:rPr>
          <w:rFonts w:asciiTheme="minorHAnsi" w:hAnsiTheme="minorHAnsi"/>
          <w:b/>
          <w:bCs/>
          <w:color w:val="000000" w:themeColor="text1"/>
          <w:lang w:val="en-AU"/>
        </w:rPr>
        <w:t>s</w:t>
      </w:r>
      <w:r w:rsidRPr="003F41FF">
        <w:rPr>
          <w:rFonts w:asciiTheme="minorHAnsi" w:hAnsiTheme="minorHAnsi"/>
          <w:color w:val="000000" w:themeColor="text1"/>
          <w:lang w:val="en-AU"/>
        </w:rPr>
        <w:t xml:space="preserve">) will be calculated for each individual study </w:t>
      </w:r>
      <w:r w:rsidR="00BF11CF">
        <w:rPr>
          <w:rFonts w:asciiTheme="minorHAnsi" w:hAnsiTheme="minorHAnsi"/>
          <w:color w:val="000000" w:themeColor="text1"/>
          <w:lang w:val="en-AU"/>
        </w:rPr>
        <w:t xml:space="preserve">as well as overall estimates </w:t>
      </w:r>
      <w:r w:rsidR="00BF11CF" w:rsidRPr="003F41FF">
        <w:rPr>
          <w:rFonts w:asciiTheme="minorHAnsi" w:hAnsiTheme="minorHAnsi"/>
          <w:color w:val="000000" w:themeColor="text1"/>
          <w:lang w:val="en-AU"/>
        </w:rPr>
        <w:t>(for the stratification of interest)</w:t>
      </w:r>
      <w:r w:rsidR="00BF11CF">
        <w:rPr>
          <w:rFonts w:asciiTheme="minorHAnsi" w:hAnsiTheme="minorHAnsi"/>
          <w:color w:val="000000" w:themeColor="text1"/>
          <w:lang w:val="en-AU"/>
        </w:rPr>
        <w:t xml:space="preserve"> </w:t>
      </w:r>
      <w:r w:rsidRPr="003F41FF">
        <w:rPr>
          <w:rFonts w:asciiTheme="minorHAnsi" w:hAnsiTheme="minorHAnsi"/>
          <w:color w:val="000000" w:themeColor="text1"/>
          <w:lang w:val="en-AU"/>
        </w:rPr>
        <w:t xml:space="preserve">with confidence intervals derived using </w:t>
      </w:r>
      <w:r w:rsidR="00832924">
        <w:rPr>
          <w:rFonts w:asciiTheme="minorHAnsi" w:hAnsiTheme="minorHAnsi"/>
          <w:color w:val="000000" w:themeColor="text1"/>
          <w:lang w:val="en-AU"/>
        </w:rPr>
        <w:t>exact</w:t>
      </w:r>
      <w:r w:rsidRPr="003F41FF">
        <w:rPr>
          <w:rFonts w:asciiTheme="minorHAnsi" w:hAnsiTheme="minorHAnsi"/>
          <w:color w:val="000000" w:themeColor="text1"/>
          <w:lang w:val="en-AU"/>
        </w:rPr>
        <w:t xml:space="preserve"> method</w:t>
      </w:r>
      <w:r w:rsidR="00832924">
        <w:rPr>
          <w:rFonts w:asciiTheme="minorHAnsi" w:hAnsiTheme="minorHAnsi"/>
          <w:color w:val="000000" w:themeColor="text1"/>
          <w:lang w:val="en-AU"/>
        </w:rPr>
        <w:t>s</w:t>
      </w:r>
      <w:r w:rsidRPr="003F41FF">
        <w:rPr>
          <w:rFonts w:asciiTheme="minorHAnsi" w:hAnsiTheme="minorHAnsi"/>
          <w:color w:val="000000" w:themeColor="text1"/>
          <w:lang w:val="en-AU"/>
        </w:rPr>
        <w:t xml:space="preserve">. The effect of schizontocidal and primaquine dosage on the risk of parasite positivity will be assessed using a generalised linear mixed model with study sites fitted as a random effect and by specifying logit link function. </w:t>
      </w:r>
      <w:r w:rsidR="000A744B">
        <w:rPr>
          <w:rFonts w:asciiTheme="minorHAnsi" w:hAnsiTheme="minorHAnsi" w:cstheme="minorHAnsi"/>
          <w:color w:val="000000" w:themeColor="text1"/>
        </w:rPr>
        <w:t xml:space="preserve">Schizontocidal mg/kg dose and primaquine use and mg/kg dose will be controlled for potential confounders including age, sex, baseline parasitaemia and relapse periodicity. </w:t>
      </w:r>
    </w:p>
    <w:p w14:paraId="7EA953C2" w14:textId="77777777" w:rsidR="00457F3C" w:rsidRPr="003F41FF" w:rsidRDefault="00457F3C" w:rsidP="00457F3C">
      <w:pPr>
        <w:ind w:left="720"/>
        <w:rPr>
          <w:rFonts w:asciiTheme="minorHAnsi" w:hAnsiTheme="minorHAnsi" w:cstheme="minorHAnsi"/>
          <w:color w:val="000000" w:themeColor="text1"/>
          <w:lang w:val="en-AU"/>
        </w:rPr>
      </w:pPr>
    </w:p>
    <w:p w14:paraId="40FF3290" w14:textId="77777777" w:rsidR="00457F3C" w:rsidRPr="0041682F" w:rsidRDefault="00457F3C" w:rsidP="00457F3C">
      <w:pPr>
        <w:pStyle w:val="ListParagraph"/>
        <w:numPr>
          <w:ilvl w:val="1"/>
          <w:numId w:val="8"/>
        </w:numPr>
        <w:spacing w:after="0"/>
        <w:rPr>
          <w:rFonts w:asciiTheme="minorHAnsi" w:hAnsiTheme="minorHAnsi" w:cstheme="minorHAnsi"/>
          <w:i/>
          <w:color w:val="000000" w:themeColor="text1"/>
        </w:rPr>
      </w:pPr>
      <w:r w:rsidRPr="0041682F">
        <w:rPr>
          <w:rFonts w:asciiTheme="minorHAnsi" w:hAnsiTheme="minorHAnsi" w:cstheme="minorHAnsi"/>
          <w:i/>
          <w:color w:val="000000" w:themeColor="text1"/>
        </w:rPr>
        <w:t>Gametocyte carriage following treatment</w:t>
      </w:r>
    </w:p>
    <w:p w14:paraId="2E70FB2B" w14:textId="1238FE54" w:rsidR="00457F3C" w:rsidRPr="00122FA5" w:rsidRDefault="00457F3C" w:rsidP="00122FA5">
      <w:pPr>
        <w:pStyle w:val="Default"/>
        <w:spacing w:line="276" w:lineRule="auto"/>
        <w:ind w:left="720"/>
        <w:rPr>
          <w:rFonts w:asciiTheme="minorHAnsi" w:hAnsiTheme="minorHAnsi"/>
          <w:color w:val="000000" w:themeColor="text1"/>
          <w:sz w:val="22"/>
          <w:szCs w:val="22"/>
          <w:lang w:val="en-AU"/>
        </w:rPr>
      </w:pPr>
      <w:r w:rsidRPr="003F41FF">
        <w:rPr>
          <w:rFonts w:asciiTheme="minorHAnsi" w:hAnsiTheme="minorHAnsi"/>
          <w:color w:val="000000" w:themeColor="text1"/>
          <w:sz w:val="22"/>
          <w:szCs w:val="22"/>
          <w:lang w:val="en-AU"/>
        </w:rPr>
        <w:t xml:space="preserve">Gametocyte carriage will be assessed as the proportion of patients with </w:t>
      </w:r>
      <w:r w:rsidRPr="003F41FF">
        <w:rPr>
          <w:rFonts w:asciiTheme="minorHAnsi" w:hAnsiTheme="minorHAnsi"/>
          <w:i/>
          <w:color w:val="000000" w:themeColor="text1"/>
          <w:sz w:val="22"/>
          <w:szCs w:val="22"/>
          <w:lang w:val="en-AU"/>
        </w:rPr>
        <w:t xml:space="preserve">P. </w:t>
      </w:r>
      <w:r w:rsidR="00CD1E16">
        <w:rPr>
          <w:rFonts w:asciiTheme="minorHAnsi" w:hAnsiTheme="minorHAnsi"/>
          <w:i/>
          <w:color w:val="000000" w:themeColor="text1"/>
          <w:sz w:val="22"/>
          <w:szCs w:val="22"/>
          <w:lang w:val="en-AU"/>
        </w:rPr>
        <w:t>vivax</w:t>
      </w:r>
      <w:r w:rsidRPr="003F41FF">
        <w:rPr>
          <w:rFonts w:asciiTheme="minorHAnsi" w:hAnsiTheme="minorHAnsi"/>
          <w:color w:val="000000" w:themeColor="text1"/>
          <w:sz w:val="22"/>
          <w:szCs w:val="22"/>
          <w:lang w:val="en-AU"/>
        </w:rPr>
        <w:t xml:space="preserve"> gametoc</w:t>
      </w:r>
      <w:r w:rsidR="00C72302">
        <w:rPr>
          <w:rFonts w:asciiTheme="minorHAnsi" w:hAnsiTheme="minorHAnsi"/>
          <w:color w:val="000000" w:themeColor="text1"/>
          <w:sz w:val="22"/>
          <w:szCs w:val="22"/>
          <w:lang w:val="en-AU"/>
        </w:rPr>
        <w:t>ytes on day 3, 7, 14,</w:t>
      </w:r>
      <w:r w:rsidR="000070BB">
        <w:rPr>
          <w:rFonts w:asciiTheme="minorHAnsi" w:hAnsiTheme="minorHAnsi"/>
          <w:color w:val="000000" w:themeColor="text1"/>
          <w:sz w:val="22"/>
          <w:szCs w:val="22"/>
          <w:lang w:val="en-AU"/>
        </w:rPr>
        <w:t xml:space="preserve"> 21, </w:t>
      </w:r>
      <w:r w:rsidR="00C72302">
        <w:rPr>
          <w:rFonts w:asciiTheme="minorHAnsi" w:hAnsiTheme="minorHAnsi"/>
          <w:color w:val="000000" w:themeColor="text1"/>
          <w:sz w:val="22"/>
          <w:szCs w:val="22"/>
          <w:lang w:val="en-AU"/>
        </w:rPr>
        <w:t xml:space="preserve">and day of recurrence </w:t>
      </w:r>
      <w:r w:rsidR="000070BB">
        <w:rPr>
          <w:rFonts w:asciiTheme="minorHAnsi" w:hAnsiTheme="minorHAnsi"/>
          <w:color w:val="000000" w:themeColor="text1"/>
          <w:sz w:val="22"/>
          <w:szCs w:val="22"/>
          <w:lang w:val="en-AU"/>
        </w:rPr>
        <w:t>(</w:t>
      </w:r>
      <w:r w:rsidR="000070BB" w:rsidRPr="00CD1E16">
        <w:rPr>
          <w:rFonts w:asciiTheme="minorHAnsi" w:hAnsiTheme="minorHAnsi"/>
          <w:color w:val="000000" w:themeColor="text1"/>
          <w:sz w:val="22"/>
          <w:szCs w:val="22"/>
          <w:lang w:val="en-AU"/>
        </w:rPr>
        <w:t>GPP</w:t>
      </w:r>
      <w:r w:rsidRPr="00CD1E16">
        <w:rPr>
          <w:rFonts w:asciiTheme="minorHAnsi" w:hAnsiTheme="minorHAnsi"/>
          <w:color w:val="000000" w:themeColor="text1"/>
          <w:sz w:val="22"/>
          <w:szCs w:val="22"/>
          <w:lang w:val="en-AU"/>
        </w:rPr>
        <w:t xml:space="preserve"> - Gametocyte Positivity </w:t>
      </w:r>
      <w:r w:rsidR="000070BB" w:rsidRPr="00CD1E16">
        <w:rPr>
          <w:rFonts w:asciiTheme="minorHAnsi" w:hAnsiTheme="minorHAnsi"/>
          <w:color w:val="000000" w:themeColor="text1"/>
          <w:sz w:val="22"/>
          <w:szCs w:val="22"/>
          <w:lang w:val="en-AU"/>
        </w:rPr>
        <w:t>Proportion</w:t>
      </w:r>
      <w:r w:rsidR="00CD1E16" w:rsidRPr="00CD1E16">
        <w:rPr>
          <w:rFonts w:asciiTheme="minorHAnsi" w:hAnsiTheme="minorHAnsi"/>
          <w:color w:val="000000" w:themeColor="text1"/>
          <w:sz w:val="22"/>
          <w:szCs w:val="22"/>
          <w:lang w:val="en-AU"/>
        </w:rPr>
        <w:t>) with confidence intervals derived using e</w:t>
      </w:r>
      <w:r w:rsidR="004A52BD" w:rsidRPr="00CD1E16">
        <w:rPr>
          <w:rFonts w:asciiTheme="minorHAnsi" w:hAnsiTheme="minorHAnsi"/>
          <w:color w:val="000000" w:themeColor="text1"/>
          <w:sz w:val="22"/>
          <w:szCs w:val="22"/>
          <w:lang w:val="en-AU"/>
        </w:rPr>
        <w:t>xact</w:t>
      </w:r>
      <w:r w:rsidRPr="00CD1E16">
        <w:rPr>
          <w:rFonts w:asciiTheme="minorHAnsi" w:hAnsiTheme="minorHAnsi"/>
          <w:color w:val="000000" w:themeColor="text1"/>
          <w:sz w:val="22"/>
          <w:szCs w:val="22"/>
          <w:lang w:val="en-AU"/>
        </w:rPr>
        <w:t xml:space="preserve"> method</w:t>
      </w:r>
      <w:r w:rsidR="004A52BD" w:rsidRPr="00CD1E16">
        <w:rPr>
          <w:rFonts w:asciiTheme="minorHAnsi" w:hAnsiTheme="minorHAnsi"/>
          <w:color w:val="000000" w:themeColor="text1"/>
          <w:sz w:val="22"/>
          <w:szCs w:val="22"/>
          <w:lang w:val="en-AU"/>
        </w:rPr>
        <w:t>s</w:t>
      </w:r>
      <w:r w:rsidR="00CD1E16" w:rsidRPr="00CD1E16">
        <w:rPr>
          <w:rFonts w:asciiTheme="minorHAnsi" w:hAnsiTheme="minorHAnsi"/>
          <w:color w:val="000000" w:themeColor="text1"/>
          <w:sz w:val="22"/>
          <w:szCs w:val="22"/>
          <w:lang w:val="en-AU"/>
        </w:rPr>
        <w:t xml:space="preserve">. GPP estimates will be presented separately for those with and without gametocytes </w:t>
      </w:r>
      <w:r w:rsidR="00CD1E16" w:rsidRPr="006C78CF">
        <w:rPr>
          <w:rFonts w:asciiTheme="minorHAnsi" w:hAnsiTheme="minorHAnsi"/>
          <w:color w:val="000000" w:themeColor="text1"/>
          <w:sz w:val="22"/>
          <w:szCs w:val="22"/>
          <w:lang w:val="en-AU"/>
        </w:rPr>
        <w:t xml:space="preserve">on admission. </w:t>
      </w:r>
      <w:r w:rsidR="006C78CF" w:rsidRPr="006C78CF">
        <w:rPr>
          <w:rFonts w:asciiTheme="minorHAnsi" w:hAnsiTheme="minorHAnsi"/>
          <w:color w:val="000000" w:themeColor="text1"/>
          <w:sz w:val="22"/>
          <w:szCs w:val="22"/>
          <w:lang w:val="en-AU"/>
        </w:rPr>
        <w:t xml:space="preserve">The effect of schizontocidal and primaquine dosage on the risk of </w:t>
      </w:r>
      <w:r w:rsidR="006C78CF">
        <w:rPr>
          <w:rFonts w:asciiTheme="minorHAnsi" w:hAnsiTheme="minorHAnsi"/>
          <w:color w:val="000000" w:themeColor="text1"/>
          <w:sz w:val="22"/>
          <w:szCs w:val="22"/>
          <w:lang w:val="en-AU"/>
        </w:rPr>
        <w:t>gametocyte</w:t>
      </w:r>
      <w:r w:rsidR="00CD1E16" w:rsidRPr="006C78CF">
        <w:rPr>
          <w:rFonts w:asciiTheme="minorHAnsi" w:hAnsiTheme="minorHAnsi"/>
          <w:color w:val="000000" w:themeColor="text1"/>
          <w:sz w:val="22"/>
          <w:szCs w:val="22"/>
          <w:lang w:val="en-AU"/>
        </w:rPr>
        <w:t xml:space="preserve"> carriage during the follow-</w:t>
      </w:r>
      <w:r w:rsidR="00CD1E16" w:rsidRPr="006C78CF">
        <w:rPr>
          <w:rFonts w:asciiTheme="minorHAnsi" w:hAnsiTheme="minorHAnsi"/>
          <w:color w:val="000000" w:themeColor="text1"/>
          <w:sz w:val="22"/>
          <w:szCs w:val="22"/>
          <w:lang w:val="en-AU"/>
        </w:rPr>
        <w:lastRenderedPageBreak/>
        <w:t>up will be assessed using a generalised linear mixed</w:t>
      </w:r>
      <w:r w:rsidR="00CD1E16" w:rsidRPr="00CD1E16">
        <w:rPr>
          <w:rFonts w:asciiTheme="minorHAnsi" w:hAnsiTheme="minorHAnsi"/>
          <w:color w:val="000000" w:themeColor="text1"/>
          <w:sz w:val="22"/>
          <w:szCs w:val="22"/>
          <w:lang w:val="en-AU"/>
        </w:rPr>
        <w:t xml:space="preserve"> model with study sites fitted as a random effect and by specifying logit link function</w:t>
      </w:r>
      <w:r w:rsidR="006C78CF">
        <w:rPr>
          <w:rFonts w:asciiTheme="minorHAnsi" w:hAnsiTheme="minorHAnsi"/>
          <w:color w:val="000000" w:themeColor="text1"/>
          <w:sz w:val="22"/>
          <w:szCs w:val="22"/>
          <w:lang w:val="en-AU"/>
        </w:rPr>
        <w:t xml:space="preserve">. </w:t>
      </w:r>
      <w:r w:rsidRPr="00CD1E16">
        <w:rPr>
          <w:rFonts w:asciiTheme="minorHAnsi" w:hAnsiTheme="minorHAnsi" w:cstheme="minorHAnsi"/>
          <w:color w:val="000000" w:themeColor="text1"/>
          <w:sz w:val="22"/>
          <w:szCs w:val="22"/>
          <w:lang w:val="en-AU"/>
        </w:rPr>
        <w:t xml:space="preserve">Covariates to examine will include: </w:t>
      </w:r>
      <w:r w:rsidRPr="00CD1E16">
        <w:rPr>
          <w:rFonts w:asciiTheme="minorHAnsi" w:hAnsiTheme="minorHAnsi" w:cstheme="minorHAnsi"/>
          <w:noProof/>
          <w:color w:val="000000" w:themeColor="text1"/>
          <w:sz w:val="22"/>
          <w:szCs w:val="22"/>
          <w:lang w:val="en-AU"/>
        </w:rPr>
        <w:t>age, sex, weight, nutritional status, G6PD status</w:t>
      </w:r>
      <w:r w:rsidRPr="003F41FF">
        <w:rPr>
          <w:rFonts w:asciiTheme="minorHAnsi" w:hAnsiTheme="minorHAnsi" w:cstheme="minorHAnsi"/>
          <w:noProof/>
          <w:color w:val="000000" w:themeColor="text1"/>
          <w:sz w:val="22"/>
          <w:szCs w:val="22"/>
          <w:lang w:val="en-AU"/>
        </w:rPr>
        <w:t>, history of malaria within the past 28 days, history of fever, baseline parasitaemia, pre</w:t>
      </w:r>
      <w:r w:rsidR="006D0481">
        <w:rPr>
          <w:rFonts w:asciiTheme="minorHAnsi" w:hAnsiTheme="minorHAnsi" w:cstheme="minorHAnsi"/>
          <w:noProof/>
          <w:color w:val="000000" w:themeColor="text1"/>
          <w:sz w:val="22"/>
          <w:szCs w:val="22"/>
          <w:lang w:val="en-AU"/>
        </w:rPr>
        <w:t>sence of parasitaemia on days 1 and 2</w:t>
      </w:r>
      <w:r w:rsidRPr="003F41FF">
        <w:rPr>
          <w:rFonts w:asciiTheme="minorHAnsi" w:hAnsiTheme="minorHAnsi" w:cstheme="minorHAnsi"/>
          <w:noProof/>
          <w:color w:val="000000" w:themeColor="text1"/>
          <w:sz w:val="22"/>
          <w:szCs w:val="22"/>
          <w:lang w:val="en-AU"/>
        </w:rPr>
        <w:t>, transmisison intensity, relapse periodicity, baseline haemoglobin, presence of gametocyte on enrolment, schizontocidal treatment mg/kg dose, primaquine treatment mg/kg dose and timing and vomiting within one hour of drug administration.</w:t>
      </w:r>
    </w:p>
    <w:p w14:paraId="3F605C57" w14:textId="77777777" w:rsidR="00457F3C" w:rsidRPr="003F41FF" w:rsidRDefault="00457F3C" w:rsidP="00457F3C">
      <w:pPr>
        <w:rPr>
          <w:lang w:val="en-AU"/>
        </w:rPr>
      </w:pPr>
    </w:p>
    <w:p w14:paraId="6EC34687" w14:textId="77777777" w:rsidR="00457F3C" w:rsidRPr="003F41FF" w:rsidRDefault="00457F3C" w:rsidP="00457F3C">
      <w:pPr>
        <w:pStyle w:val="Heading1"/>
        <w:spacing w:line="276" w:lineRule="auto"/>
      </w:pPr>
      <w:bookmarkStart w:id="29" w:name="_Toc457660159"/>
      <w:bookmarkStart w:id="30" w:name="_Toc461542571"/>
      <w:r w:rsidRPr="003F41FF">
        <w:t>4. PRISMA Statement</w:t>
      </w:r>
      <w:bookmarkEnd w:id="29"/>
      <w:bookmarkEnd w:id="30"/>
    </w:p>
    <w:p w14:paraId="5475897A" w14:textId="56EF1F01" w:rsidR="00457F3C" w:rsidRPr="003F41FF" w:rsidRDefault="00457F3C" w:rsidP="00457F3C">
      <w:pPr>
        <w:rPr>
          <w:lang w:val="en-AU"/>
        </w:rPr>
      </w:pPr>
      <w:r w:rsidRPr="003F41FF">
        <w:rPr>
          <w:color w:val="000000" w:themeColor="text1"/>
          <w:lang w:val="en-AU"/>
        </w:rPr>
        <w:t xml:space="preserve">The analysis will adhere to the PRISMA guidelines for reporting systematic reviews and meta-analyses of individual patient data </w:t>
      </w:r>
      <w:r>
        <w:rPr>
          <w:color w:val="000000" w:themeColor="text1"/>
          <w:lang w:val="en-AU"/>
        </w:rPr>
        <w:fldChar w:fldCharType="begin">
          <w:fldData xml:space="preserve">PEVuZE5vdGU+PENpdGU+PEF1dGhvcj5TdGV3YXJ0PC9BdXRob3I+PFllYXI+MjAxNTwvWWVhcj48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</w:fldData>
        </w:fldChar>
      </w:r>
      <w:r w:rsidR="00A4255F">
        <w:rPr>
          <w:color w:val="000000" w:themeColor="text1"/>
          <w:lang w:val="en-AU"/>
        </w:rPr>
        <w:instrText xml:space="preserve"> ADDIN EN.CITE </w:instrText>
      </w:r>
      <w:r w:rsidR="00A4255F">
        <w:rPr>
          <w:color w:val="000000" w:themeColor="text1"/>
          <w:lang w:val="en-AU"/>
        </w:rPr>
        <w:fldChar w:fldCharType="begin">
          <w:fldData xml:space="preserve">PEVuZE5vdGU+PENpdGU+PEF1dGhvcj5TdGV3YXJ0PC9BdXRob3I+PFllYXI+MjAxNTwvWWVhcj48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</w:fldData>
        </w:fldChar>
      </w:r>
      <w:r w:rsidR="00A4255F">
        <w:rPr>
          <w:color w:val="000000" w:themeColor="text1"/>
          <w:lang w:val="en-AU"/>
        </w:rPr>
        <w:instrText xml:space="preserve"> ADDIN EN.CITE.DATA </w:instrText>
      </w:r>
      <w:r w:rsidR="00A4255F">
        <w:rPr>
          <w:color w:val="000000" w:themeColor="text1"/>
          <w:lang w:val="en-AU"/>
        </w:rPr>
      </w:r>
      <w:r w:rsidR="00A4255F">
        <w:rPr>
          <w:color w:val="000000" w:themeColor="text1"/>
          <w:lang w:val="en-AU"/>
        </w:rPr>
        <w:fldChar w:fldCharType="end"/>
      </w:r>
      <w:r>
        <w:rPr>
          <w:color w:val="000000" w:themeColor="text1"/>
          <w:lang w:val="en-AU"/>
        </w:rPr>
      </w:r>
      <w:r>
        <w:rPr>
          <w:color w:val="000000" w:themeColor="text1"/>
          <w:lang w:val="en-AU"/>
        </w:rPr>
        <w:fldChar w:fldCharType="separate"/>
      </w:r>
      <w:r w:rsidR="00A4255F">
        <w:rPr>
          <w:noProof/>
          <w:color w:val="000000" w:themeColor="text1"/>
          <w:lang w:val="en-AU"/>
        </w:rPr>
        <w:t>(16)</w:t>
      </w:r>
      <w:r>
        <w:rPr>
          <w:color w:val="000000" w:themeColor="text1"/>
          <w:lang w:val="en-AU"/>
        </w:rPr>
        <w:fldChar w:fldCharType="end"/>
      </w:r>
      <w:r w:rsidRPr="003F41FF">
        <w:rPr>
          <w:color w:val="000000" w:themeColor="text1"/>
          <w:lang w:val="en-AU"/>
        </w:rPr>
        <w:t>.</w:t>
      </w:r>
    </w:p>
    <w:p w14:paraId="3C27DE78" w14:textId="77777777" w:rsidR="00457F3C" w:rsidRPr="003F41FF" w:rsidRDefault="00457F3C" w:rsidP="00457F3C">
      <w:pPr>
        <w:rPr>
          <w:lang w:val="en-AU"/>
        </w:rPr>
      </w:pPr>
    </w:p>
    <w:p w14:paraId="608E7091" w14:textId="77777777" w:rsidR="00457F3C" w:rsidRPr="003F41FF" w:rsidRDefault="00457F3C" w:rsidP="00457F3C">
      <w:pPr>
        <w:pStyle w:val="Heading1"/>
        <w:spacing w:line="276" w:lineRule="auto"/>
      </w:pPr>
      <w:bookmarkStart w:id="31" w:name="_Toc457660160"/>
      <w:bookmarkStart w:id="32" w:name="_Toc461542572"/>
      <w:r w:rsidRPr="003F41FF">
        <w:t>5. Tools</w:t>
      </w:r>
      <w:bookmarkEnd w:id="31"/>
      <w:bookmarkEnd w:id="32"/>
      <w:r w:rsidRPr="003F41FF">
        <w:t xml:space="preserve"> </w:t>
      </w:r>
    </w:p>
    <w:p w14:paraId="538155BF" w14:textId="0E96D566" w:rsidR="00457F3C" w:rsidRPr="003F41FF" w:rsidRDefault="00457F3C" w:rsidP="00457F3C">
      <w:pPr>
        <w:rPr>
          <w:lang w:val="en-AU"/>
        </w:rPr>
      </w:pPr>
      <w:r w:rsidRPr="003F41FF">
        <w:rPr>
          <w:lang w:val="en-AU"/>
        </w:rPr>
        <w:t>All statistical analyses will be carried out using Stata v14 (StataCorp, College Station, Texas). However, when equivalent statistical methods are applied</w:t>
      </w:r>
      <w:r w:rsidR="00756CFF">
        <w:rPr>
          <w:lang w:val="en-AU"/>
        </w:rPr>
        <w:t xml:space="preserve"> in a different statistical software package (e.g. R statistical software)</w:t>
      </w:r>
      <w:r w:rsidRPr="003F41FF">
        <w:rPr>
          <w:lang w:val="en-AU"/>
        </w:rPr>
        <w:t xml:space="preserve">, changing the use of statistical software </w:t>
      </w:r>
      <w:r w:rsidR="0096603A">
        <w:rPr>
          <w:lang w:val="en-AU"/>
        </w:rPr>
        <w:t xml:space="preserve">will </w:t>
      </w:r>
      <w:r w:rsidRPr="003F41FF">
        <w:rPr>
          <w:lang w:val="en-AU"/>
        </w:rPr>
        <w:t>not require amendment of this SAP.</w:t>
      </w:r>
    </w:p>
    <w:p w14:paraId="23C36FE2" w14:textId="77777777" w:rsidR="00457F3C" w:rsidRPr="003F41FF" w:rsidRDefault="00457F3C" w:rsidP="00457F3C">
      <w:pPr>
        <w:rPr>
          <w:lang w:val="en-AU"/>
        </w:rPr>
      </w:pPr>
    </w:p>
    <w:p w14:paraId="1BA7EF5F" w14:textId="77777777" w:rsidR="00457F3C" w:rsidRPr="003F41FF" w:rsidRDefault="00457F3C" w:rsidP="00457F3C">
      <w:pPr>
        <w:pStyle w:val="Heading1"/>
        <w:keepLines w:val="0"/>
        <w:spacing w:after="60"/>
      </w:pPr>
      <w:bookmarkStart w:id="33" w:name="_Toc457660161"/>
      <w:bookmarkStart w:id="34" w:name="_Toc461542573"/>
      <w:r w:rsidRPr="003F41FF">
        <w:t>6. Study Group Governance, Management, Coordination and Publication Policy</w:t>
      </w:r>
      <w:bookmarkEnd w:id="33"/>
      <w:bookmarkEnd w:id="34"/>
    </w:p>
    <w:p w14:paraId="1496C0D1" w14:textId="77777777" w:rsidR="00457F3C" w:rsidRPr="003F41FF" w:rsidRDefault="00457F3C" w:rsidP="00457F3C">
      <w:pPr>
        <w:rPr>
          <w:color w:val="000000" w:themeColor="text1"/>
          <w:lang w:val="en-AU"/>
        </w:rPr>
      </w:pPr>
    </w:p>
    <w:p w14:paraId="766FD954" w14:textId="3EF81D1D" w:rsidR="00457F3C" w:rsidRPr="003F41FF" w:rsidRDefault="00457F3C" w:rsidP="00457F3C">
      <w:pPr>
        <w:widowControl w:val="0"/>
        <w:autoSpaceDE w:val="0"/>
        <w:autoSpaceDN w:val="0"/>
        <w:adjustRightInd w:val="0"/>
        <w:jc w:val="both"/>
        <w:rPr>
          <w:rFonts w:cs="OpenSans"/>
          <w:color w:val="000000" w:themeColor="text1"/>
          <w:lang w:val="en-AU"/>
        </w:rPr>
      </w:pPr>
      <w:r w:rsidRPr="003F41FF">
        <w:rPr>
          <w:rFonts w:cs="OpenSans"/>
          <w:color w:val="000000" w:themeColor="text1"/>
          <w:lang w:val="en-AU"/>
        </w:rPr>
        <w:t xml:space="preserve">The Vivax Recurrence Study Group comprises participating investigators who contribute relevant data sets to the pooled analysis. Data sets will remain the property of the investigator and will not be shared without their consent. The WWARN statistician(s) will oversee the statistical analyses. Participating investigators will be recognised in publication as contributors under the banner of the </w:t>
      </w:r>
      <w:r w:rsidRPr="003F41FF">
        <w:rPr>
          <w:rFonts w:cs="OpenSans"/>
          <w:b/>
          <w:color w:val="000000" w:themeColor="text1"/>
          <w:lang w:val="en-AU"/>
        </w:rPr>
        <w:t>Vivax Recurrence Study Group</w:t>
      </w:r>
      <w:r w:rsidRPr="003F41FF">
        <w:rPr>
          <w:rFonts w:cs="OpenSans"/>
          <w:color w:val="000000" w:themeColor="text1"/>
          <w:lang w:val="en-AU"/>
        </w:rPr>
        <w:t xml:space="preserve">. A Writing Committee will coordinate activities including data analysis, and drafting of publications and reports for complete group review. The Writing Committee will comprise Ric Price, Rob Commons, </w:t>
      </w:r>
      <w:r w:rsidR="0096603A">
        <w:rPr>
          <w:rFonts w:cs="OpenSans"/>
          <w:color w:val="000000" w:themeColor="text1"/>
          <w:lang w:val="en-AU"/>
        </w:rPr>
        <w:t xml:space="preserve">Julie Simpson, </w:t>
      </w:r>
      <w:r w:rsidRPr="003F41FF">
        <w:rPr>
          <w:rFonts w:cstheme="minorHAnsi"/>
          <w:color w:val="000000" w:themeColor="text1"/>
          <w:lang w:val="en-AU"/>
        </w:rPr>
        <w:t>the WWARN statisticians Kasia Stepniewska and Prabin Dahal and other</w:t>
      </w:r>
      <w:r w:rsidRPr="003F41FF">
        <w:rPr>
          <w:rFonts w:cs="OpenSans"/>
          <w:color w:val="000000" w:themeColor="text1"/>
          <w:lang w:val="en-AU"/>
        </w:rPr>
        <w:t xml:space="preserve"> interested investigators. They are responsible for undertaking the data analysis and preparation of the manuscript. Authors will be recognized according to the ICMJE guidelines and the </w:t>
      </w:r>
      <w:hyperlink r:id="rId7" w:history="1">
        <w:r w:rsidRPr="003F41FF">
          <w:rPr>
            <w:rStyle w:val="Hyperlink"/>
            <w:rFonts w:cs="OpenSans"/>
            <w:color w:val="000000" w:themeColor="text1"/>
            <w:lang w:val="en-AU"/>
          </w:rPr>
          <w:t>WWARN publication policy</w:t>
        </w:r>
      </w:hyperlink>
      <w:r w:rsidRPr="003F41FF">
        <w:rPr>
          <w:rStyle w:val="Hyperlink"/>
          <w:rFonts w:cs="OpenSans"/>
          <w:color w:val="000000" w:themeColor="text1"/>
          <w:lang w:val="en-AU"/>
        </w:rPr>
        <w:t xml:space="preserve"> </w:t>
      </w:r>
      <w:r>
        <w:rPr>
          <w:rStyle w:val="Hyperlink"/>
          <w:rFonts w:cs="OpenSans"/>
          <w:color w:val="000000" w:themeColor="text1"/>
          <w:lang w:val="en-AU"/>
        </w:rPr>
        <w:fldChar w:fldCharType="begin"/>
      </w:r>
      <w:r w:rsidR="00A4255F">
        <w:rPr>
          <w:rStyle w:val="Hyperlink"/>
          <w:rFonts w:cs="OpenSans"/>
          <w:color w:val="000000" w:themeColor="text1"/>
          <w:lang w:val="en-AU"/>
        </w:rPr>
        <w:instrText xml:space="preserve"> ADDIN EN.CITE &lt;EndNote&gt;&lt;Cite&gt;&lt;Author&gt;WorldWide Antimalarial Resistance Network&lt;/Author&gt;&lt;Year&gt;2015&lt;/Year&gt;&lt;RecNum&gt;57&lt;/RecNum&gt;&lt;DisplayText&gt;(17)&lt;/DisplayText&gt;&lt;record&gt;&lt;rec-number&gt;57&lt;/rec-number&gt;&lt;foreign-keys&gt;&lt;key app="EN" db-id="zrz59pvfoxvewle2ee8xrwt2292evzwdsrse" timestamp="0"&gt;57&lt;/key&gt;&lt;/foreign-keys&gt;&lt;ref-type name="Web Page"&gt;12&lt;/ref-type&gt;&lt;contributors&gt;&lt;authors&gt;&lt;author&gt;WorldWide Antimalarial Resistance Network,&lt;/author&gt;&lt;/authors&gt;&lt;/contributors&gt;&lt;titles&gt;&lt;title&gt;WWARN Publication Policy&lt;/title&gt;&lt;/titles&gt;&lt;volume&gt;2016&lt;/volume&gt;&lt;number&gt;31 July 2016&lt;/number&gt;&lt;dates&gt;&lt;year&gt;2015&lt;/year&gt;&lt;/dates&gt;&lt;pub-location&gt;Oxford, UK&lt;/pub-location&gt;&lt;publisher&gt;WWARN&lt;/publisher&gt;&lt;urls&gt;&lt;related-urls&gt;&lt;url&gt;http://www.wwarn.org/sites/default/files/attachments/documents/wwarn_publication_policy.pdf&lt;/url&gt;&lt;/related-urls&gt;&lt;/urls&gt;&lt;/record&gt;&lt;/Cite&gt;&lt;/EndNote&gt;</w:instrText>
      </w:r>
      <w:r>
        <w:rPr>
          <w:rStyle w:val="Hyperlink"/>
          <w:rFonts w:cs="OpenSans"/>
          <w:color w:val="000000" w:themeColor="text1"/>
          <w:lang w:val="en-AU"/>
        </w:rPr>
        <w:fldChar w:fldCharType="separate"/>
      </w:r>
      <w:r w:rsidR="00A4255F">
        <w:rPr>
          <w:rStyle w:val="Hyperlink"/>
          <w:rFonts w:cs="OpenSans"/>
          <w:noProof/>
          <w:color w:val="000000" w:themeColor="text1"/>
          <w:lang w:val="en-AU"/>
        </w:rPr>
        <w:t>(17)</w:t>
      </w:r>
      <w:r>
        <w:rPr>
          <w:rStyle w:val="Hyperlink"/>
          <w:rFonts w:cs="OpenSans"/>
          <w:color w:val="000000" w:themeColor="text1"/>
          <w:lang w:val="en-AU"/>
        </w:rPr>
        <w:fldChar w:fldCharType="end"/>
      </w:r>
      <w:r w:rsidRPr="003F41FF">
        <w:rPr>
          <w:rFonts w:cs="OpenSans"/>
          <w:color w:val="000000" w:themeColor="text1"/>
          <w:lang w:val="en-AU"/>
        </w:rPr>
        <w:t>.</w:t>
      </w:r>
    </w:p>
    <w:p w14:paraId="3BF16FB1" w14:textId="77777777" w:rsidR="00457F3C" w:rsidRPr="003F41FF" w:rsidRDefault="00457F3C" w:rsidP="00457F3C">
      <w:pPr>
        <w:rPr>
          <w:lang w:val="en-AU"/>
        </w:rPr>
      </w:pPr>
    </w:p>
    <w:p w14:paraId="38569CAA" w14:textId="77777777" w:rsidR="00457F3C" w:rsidRPr="003F41FF" w:rsidRDefault="00457F3C" w:rsidP="00457F3C">
      <w:pPr>
        <w:rPr>
          <w:lang w:val="en-AU"/>
        </w:rPr>
      </w:pPr>
    </w:p>
    <w:p w14:paraId="6DC4E48C" w14:textId="77777777" w:rsidR="00457F3C" w:rsidRDefault="00457F3C" w:rsidP="00457F3C">
      <w:pPr>
        <w:pStyle w:val="Heading1"/>
      </w:pPr>
      <w:r w:rsidRPr="003F41FF">
        <w:t xml:space="preserve">7. </w:t>
      </w:r>
      <w:bookmarkStart w:id="35" w:name="_Toc457660162"/>
      <w:bookmarkStart w:id="36" w:name="_Toc461542574"/>
      <w:r w:rsidRPr="003F41FF">
        <w:t>References</w:t>
      </w:r>
      <w:bookmarkEnd w:id="35"/>
      <w:bookmarkEnd w:id="36"/>
    </w:p>
    <w:p w14:paraId="30E3ABCD" w14:textId="77777777" w:rsidR="00A4255F" w:rsidRPr="00A4255F" w:rsidRDefault="00A4255F" w:rsidP="00A4255F">
      <w:pPr>
        <w:pStyle w:val="NoSpacing"/>
        <w:rPr>
          <w:lang w:val="en-AU"/>
        </w:rPr>
      </w:pPr>
    </w:p>
    <w:bookmarkStart w:id="37" w:name="_Toc457660163"/>
    <w:p w14:paraId="46BC9F00" w14:textId="77777777" w:rsidR="00A4255F" w:rsidRPr="00A4255F" w:rsidRDefault="00A4255F" w:rsidP="00A4255F">
      <w:pPr>
        <w:pStyle w:val="EndNoteBibliography"/>
        <w:spacing w:after="0"/>
        <w:rPr>
          <w:noProof/>
        </w:rPr>
      </w:pPr>
      <w:r>
        <w:fldChar w:fldCharType="begin"/>
      </w:r>
      <w:r>
        <w:instrText xml:space="preserve"> ADDIN EN.REFLIST </w:instrText>
      </w:r>
      <w:r>
        <w:fldChar w:fldCharType="separate"/>
      </w:r>
      <w:r w:rsidRPr="00A4255F">
        <w:rPr>
          <w:noProof/>
        </w:rPr>
        <w:t>1.</w:t>
      </w:r>
      <w:r w:rsidRPr="00A4255F">
        <w:rPr>
          <w:noProof/>
        </w:rPr>
        <w:tab/>
        <w:t>WorldWide Antimalarial Resistance Network. Data Management and Statistical Analysis Plan v1.2. Oxford; 2012.</w:t>
      </w:r>
    </w:p>
    <w:p w14:paraId="4D2C94AC" w14:textId="77777777" w:rsidR="00A4255F" w:rsidRPr="00A4255F" w:rsidRDefault="00A4255F" w:rsidP="00A4255F">
      <w:pPr>
        <w:pStyle w:val="EndNoteBibliography"/>
        <w:spacing w:after="0"/>
        <w:rPr>
          <w:noProof/>
        </w:rPr>
      </w:pPr>
      <w:r w:rsidRPr="00A4255F">
        <w:rPr>
          <w:noProof/>
        </w:rPr>
        <w:t>2.</w:t>
      </w:r>
      <w:r w:rsidRPr="00A4255F">
        <w:rPr>
          <w:noProof/>
        </w:rPr>
        <w:tab/>
        <w:t>World Health Organization. Methods for surveillance of antimalarial drug efficacy. Geneva: World Health Organization; 2009.</w:t>
      </w:r>
    </w:p>
    <w:p w14:paraId="425063E0" w14:textId="77777777" w:rsidR="00A4255F" w:rsidRPr="00A4255F" w:rsidRDefault="00A4255F" w:rsidP="00A4255F">
      <w:pPr>
        <w:pStyle w:val="EndNoteBibliography"/>
        <w:spacing w:after="0"/>
        <w:rPr>
          <w:noProof/>
        </w:rPr>
      </w:pPr>
      <w:r w:rsidRPr="00A4255F">
        <w:rPr>
          <w:noProof/>
        </w:rPr>
        <w:t>3.</w:t>
      </w:r>
      <w:r w:rsidRPr="00A4255F">
        <w:rPr>
          <w:noProof/>
        </w:rPr>
        <w:tab/>
        <w:t>World Health Organization. WHO Child Growth Standards: Length/height-for-age, weight-for-age, weight-for-length, weight-for-height and body mass index-for-age: Methods and development. Geneva; 2006.</w:t>
      </w:r>
    </w:p>
    <w:p w14:paraId="2114569A" w14:textId="77777777" w:rsidR="00A4255F" w:rsidRPr="00A4255F" w:rsidRDefault="00A4255F" w:rsidP="00A4255F">
      <w:pPr>
        <w:pStyle w:val="EndNoteBibliography"/>
        <w:spacing w:after="0"/>
        <w:rPr>
          <w:noProof/>
        </w:rPr>
      </w:pPr>
      <w:r w:rsidRPr="00A4255F">
        <w:rPr>
          <w:noProof/>
        </w:rPr>
        <w:t>4.</w:t>
      </w:r>
      <w:r w:rsidRPr="00A4255F">
        <w:rPr>
          <w:noProof/>
        </w:rPr>
        <w:tab/>
        <w:t>Lee SJ, Stepniewska K, Anstey N, Ashley E, Barnes K, Binh TQ, et al. The relationship between the haemoglobin concentration and the haematocrit in Plasmodium falciparum malaria. Malar J. 2008;7:149.</w:t>
      </w:r>
    </w:p>
    <w:p w14:paraId="244B1DB3" w14:textId="77777777" w:rsidR="00A4255F" w:rsidRPr="00A4255F" w:rsidRDefault="00A4255F" w:rsidP="00A4255F">
      <w:pPr>
        <w:pStyle w:val="EndNoteBibliography"/>
        <w:spacing w:after="0"/>
        <w:rPr>
          <w:noProof/>
        </w:rPr>
      </w:pPr>
      <w:r w:rsidRPr="00A4255F">
        <w:rPr>
          <w:noProof/>
        </w:rPr>
        <w:t>5.</w:t>
      </w:r>
      <w:r w:rsidRPr="00A4255F">
        <w:rPr>
          <w:noProof/>
        </w:rPr>
        <w:tab/>
        <w:t>Flegg JA, Guerin PJ, White NJ, Stepniewska K. Standardizing the measurement of parasite clearance in falciparum malaria: the parasite clearance estimator. Malar J. 2011;10:339.</w:t>
      </w:r>
    </w:p>
    <w:p w14:paraId="70BF2801" w14:textId="77777777" w:rsidR="00A4255F" w:rsidRPr="00A4255F" w:rsidRDefault="00A4255F" w:rsidP="00A4255F">
      <w:pPr>
        <w:pStyle w:val="EndNoteBibliography"/>
        <w:spacing w:after="0"/>
        <w:rPr>
          <w:noProof/>
        </w:rPr>
      </w:pPr>
      <w:r w:rsidRPr="00A4255F">
        <w:rPr>
          <w:noProof/>
        </w:rPr>
        <w:t>6.</w:t>
      </w:r>
      <w:r w:rsidRPr="00A4255F">
        <w:rPr>
          <w:noProof/>
        </w:rPr>
        <w:tab/>
        <w:t>Gething PW, Elyazar IR, Moyes CL, Smith DL, Battle KE, Guerra CA, et al. A long neglected world malaria map: Plasmodium vivax endemicity in 2010. PLoS Negl Trop Dis. 2012;6(9):e1814.</w:t>
      </w:r>
    </w:p>
    <w:p w14:paraId="706E8F3E" w14:textId="77777777" w:rsidR="00A4255F" w:rsidRPr="00A4255F" w:rsidRDefault="00A4255F" w:rsidP="00A4255F">
      <w:pPr>
        <w:pStyle w:val="EndNoteBibliography"/>
        <w:spacing w:after="0"/>
        <w:rPr>
          <w:noProof/>
        </w:rPr>
      </w:pPr>
      <w:r w:rsidRPr="00A4255F">
        <w:rPr>
          <w:noProof/>
        </w:rPr>
        <w:t>7.</w:t>
      </w:r>
      <w:r w:rsidRPr="00A4255F">
        <w:rPr>
          <w:noProof/>
        </w:rPr>
        <w:tab/>
        <w:t>Battle KE, Karhunen MS, Bhatt S, Gething PW, Howes RE, Golding N, et al. Geographical variation in Plasmodium vivax relapse. Malar J. 2014;13:144.</w:t>
      </w:r>
    </w:p>
    <w:p w14:paraId="5C7A387B" w14:textId="77777777" w:rsidR="00A4255F" w:rsidRPr="00A4255F" w:rsidRDefault="00A4255F" w:rsidP="00A4255F">
      <w:pPr>
        <w:pStyle w:val="EndNoteBibliography"/>
        <w:spacing w:after="0"/>
        <w:rPr>
          <w:noProof/>
        </w:rPr>
      </w:pPr>
      <w:r w:rsidRPr="00A4255F">
        <w:rPr>
          <w:noProof/>
        </w:rPr>
        <w:t>8.</w:t>
      </w:r>
      <w:r w:rsidRPr="00A4255F">
        <w:rPr>
          <w:noProof/>
        </w:rPr>
        <w:tab/>
        <w:t>WorldWide Antimalarial Resistance Network. Vivax Surveyor: WWARN; 2016 [Available from: 31 July 2016.</w:t>
      </w:r>
    </w:p>
    <w:p w14:paraId="57D5A35E" w14:textId="77777777" w:rsidR="00A4255F" w:rsidRPr="00A4255F" w:rsidRDefault="00A4255F" w:rsidP="00A4255F">
      <w:pPr>
        <w:pStyle w:val="EndNoteBibliography"/>
        <w:spacing w:after="0"/>
        <w:rPr>
          <w:noProof/>
        </w:rPr>
      </w:pPr>
      <w:r w:rsidRPr="00A4255F">
        <w:rPr>
          <w:noProof/>
        </w:rPr>
        <w:t>9.</w:t>
      </w:r>
      <w:r w:rsidRPr="00A4255F">
        <w:rPr>
          <w:noProof/>
        </w:rPr>
        <w:tab/>
        <w:t>Glidden DV, Vittinghoff E. Modelling clustered survival data from multicentre clinical trials. Stat Med. 2004;23(3):369-88.</w:t>
      </w:r>
    </w:p>
    <w:p w14:paraId="39E94170" w14:textId="77777777" w:rsidR="00A4255F" w:rsidRPr="00A4255F" w:rsidRDefault="00A4255F" w:rsidP="00A4255F">
      <w:pPr>
        <w:pStyle w:val="EndNoteBibliography"/>
        <w:spacing w:after="0"/>
        <w:rPr>
          <w:noProof/>
        </w:rPr>
      </w:pPr>
      <w:r w:rsidRPr="00A4255F">
        <w:rPr>
          <w:noProof/>
        </w:rPr>
        <w:t>10.</w:t>
      </w:r>
      <w:r w:rsidRPr="00A4255F">
        <w:rPr>
          <w:noProof/>
        </w:rPr>
        <w:tab/>
        <w:t>Schoenfeld D. Partial residuals for the proportional hazards regression model. Biometrika. 1982;69:239-41.</w:t>
      </w:r>
    </w:p>
    <w:p w14:paraId="44803BEE" w14:textId="77777777" w:rsidR="00A4255F" w:rsidRPr="00A4255F" w:rsidRDefault="00A4255F" w:rsidP="00A4255F">
      <w:pPr>
        <w:pStyle w:val="EndNoteBibliography"/>
        <w:spacing w:after="0"/>
        <w:rPr>
          <w:noProof/>
        </w:rPr>
      </w:pPr>
      <w:r w:rsidRPr="00A4255F">
        <w:rPr>
          <w:noProof/>
        </w:rPr>
        <w:t>11.</w:t>
      </w:r>
      <w:r w:rsidRPr="00A4255F">
        <w:rPr>
          <w:noProof/>
        </w:rPr>
        <w:tab/>
        <w:t>Levin ML. The occurrence of lung cancer in man. Acta Unio Int Contra Cancrum. 1953;9(3):531-41.</w:t>
      </w:r>
    </w:p>
    <w:p w14:paraId="0687F5ED" w14:textId="77777777" w:rsidR="00A4255F" w:rsidRPr="00A4255F" w:rsidRDefault="00A4255F" w:rsidP="00A4255F">
      <w:pPr>
        <w:pStyle w:val="EndNoteBibliography"/>
        <w:spacing w:after="0"/>
        <w:rPr>
          <w:noProof/>
        </w:rPr>
      </w:pPr>
      <w:r w:rsidRPr="00A4255F">
        <w:rPr>
          <w:noProof/>
        </w:rPr>
        <w:t>12.</w:t>
      </w:r>
      <w:r w:rsidRPr="00A4255F">
        <w:rPr>
          <w:noProof/>
        </w:rPr>
        <w:tab/>
        <w:t>Benichou J. A review of adjusted estimates of attributable risk. Statistical Methods in Medical Research. 2001;10:195-216.</w:t>
      </w:r>
    </w:p>
    <w:p w14:paraId="28F23E1F" w14:textId="77777777" w:rsidR="00A4255F" w:rsidRPr="00A4255F" w:rsidRDefault="00A4255F" w:rsidP="00A4255F">
      <w:pPr>
        <w:pStyle w:val="EndNoteBibliography"/>
        <w:spacing w:after="0"/>
        <w:rPr>
          <w:noProof/>
        </w:rPr>
      </w:pPr>
      <w:r w:rsidRPr="00A4255F">
        <w:rPr>
          <w:noProof/>
        </w:rPr>
        <w:t>13.</w:t>
      </w:r>
      <w:r w:rsidRPr="00A4255F">
        <w:rPr>
          <w:noProof/>
        </w:rPr>
        <w:tab/>
        <w:t>Price RN, Simpson JA, Nosten F, Luxemburger C, Hkirjaroen L, ter Kuile F, et al. Factors contributing to anemia after uncomplicated falciparum malaria. Am J Trop Med Hyg. 2001;65(5):614-22.</w:t>
      </w:r>
    </w:p>
    <w:p w14:paraId="7045E780" w14:textId="77777777" w:rsidR="00A4255F" w:rsidRPr="00A4255F" w:rsidRDefault="00A4255F" w:rsidP="00A4255F">
      <w:pPr>
        <w:pStyle w:val="EndNoteBibliography"/>
        <w:spacing w:after="0"/>
        <w:rPr>
          <w:noProof/>
        </w:rPr>
      </w:pPr>
      <w:r w:rsidRPr="00A4255F">
        <w:rPr>
          <w:noProof/>
        </w:rPr>
        <w:t>14.</w:t>
      </w:r>
      <w:r w:rsidRPr="00A4255F">
        <w:rPr>
          <w:noProof/>
        </w:rPr>
        <w:tab/>
        <w:t>Contal C, O'Quigley J. An application of changepoint methods in studying the effet of age on survival in breast cancer. Computational Statistics and Data Analysis. 1999;30:253-70.</w:t>
      </w:r>
    </w:p>
    <w:p w14:paraId="44CF1B33" w14:textId="77777777" w:rsidR="00A4255F" w:rsidRPr="00A4255F" w:rsidRDefault="00A4255F" w:rsidP="00A4255F">
      <w:pPr>
        <w:pStyle w:val="EndNoteBibliography"/>
        <w:spacing w:after="0"/>
        <w:rPr>
          <w:noProof/>
        </w:rPr>
      </w:pPr>
      <w:r w:rsidRPr="00A4255F">
        <w:rPr>
          <w:noProof/>
        </w:rPr>
        <w:t>15.</w:t>
      </w:r>
      <w:r w:rsidRPr="00A4255F">
        <w:rPr>
          <w:noProof/>
        </w:rPr>
        <w:tab/>
        <w:t>Price RN, Hasugian AR, Ratcliff A, Siswantoro H, Purba HL, Kenangalem E, et al. Clinical and pharmacological determinants of the therapeutic response to dihydroartemisinin-piperaquine for drug-resistant malaria. Antimicrob Agents Chemother. 2007;51(11):4090-7.</w:t>
      </w:r>
    </w:p>
    <w:p w14:paraId="58535D8D" w14:textId="77777777" w:rsidR="00A4255F" w:rsidRPr="00A4255F" w:rsidRDefault="00A4255F" w:rsidP="00A4255F">
      <w:pPr>
        <w:pStyle w:val="EndNoteBibliography"/>
        <w:spacing w:after="0"/>
        <w:rPr>
          <w:noProof/>
        </w:rPr>
      </w:pPr>
      <w:r w:rsidRPr="00A4255F">
        <w:rPr>
          <w:noProof/>
        </w:rPr>
        <w:t>16.</w:t>
      </w:r>
      <w:r w:rsidRPr="00A4255F">
        <w:rPr>
          <w:noProof/>
        </w:rPr>
        <w:tab/>
        <w:t>Stewart LA, Clarke M, Rovers M, Riley RD, Simmonds M, Stewart G, et al. Preferred Reporting Items for Systematic Review and Meta-Analyses of individual participant data: the PRISMA-IPD Statement. JAMA. 2015;313(16):1657-65.</w:t>
      </w:r>
    </w:p>
    <w:p w14:paraId="1138C4E4" w14:textId="77777777" w:rsidR="00A4255F" w:rsidRPr="00A4255F" w:rsidRDefault="00A4255F" w:rsidP="00A4255F">
      <w:pPr>
        <w:pStyle w:val="EndNoteBibliography"/>
        <w:rPr>
          <w:noProof/>
        </w:rPr>
      </w:pPr>
      <w:r w:rsidRPr="00A4255F">
        <w:rPr>
          <w:noProof/>
        </w:rPr>
        <w:t>17.</w:t>
      </w:r>
      <w:r w:rsidRPr="00A4255F">
        <w:rPr>
          <w:noProof/>
        </w:rPr>
        <w:tab/>
        <w:t xml:space="preserve">WorldWide Antimalarial Resistance Network. WWARN Publication Policy Oxford, UK: WWARN; 2015 [Available from: </w:t>
      </w:r>
      <w:hyperlink r:id="rId8" w:history="1">
        <w:r w:rsidRPr="00A4255F">
          <w:rPr>
            <w:rStyle w:val="Hyperlink"/>
            <w:noProof/>
          </w:rPr>
          <w:t>http://www.wwarn.org/sites/default/files/attachments/documents/wwarn_publication_policy.pdf</w:t>
        </w:r>
      </w:hyperlink>
      <w:r w:rsidRPr="00A4255F">
        <w:rPr>
          <w:noProof/>
        </w:rPr>
        <w:t>.</w:t>
      </w:r>
    </w:p>
    <w:p w14:paraId="2510DE8D" w14:textId="49E60A10" w:rsidR="00457F3C" w:rsidRDefault="00A4255F" w:rsidP="00A4255F">
      <w:pPr>
        <w:pStyle w:val="Heading1"/>
      </w:pPr>
      <w:r>
        <w:fldChar w:fldCharType="end"/>
      </w:r>
    </w:p>
    <w:p w14:paraId="5FDF8682" w14:textId="77777777" w:rsidR="00A4255F" w:rsidRPr="00A4255F" w:rsidRDefault="00A4255F" w:rsidP="00A4255F">
      <w:pPr>
        <w:rPr>
          <w:lang w:val="en-AU"/>
        </w:rPr>
      </w:pPr>
    </w:p>
    <w:p w14:paraId="13368843" w14:textId="5DE25268" w:rsidR="00457F3C" w:rsidRPr="003F41FF" w:rsidRDefault="002330F9" w:rsidP="00457F3C">
      <w:pPr>
        <w:pStyle w:val="Heading1"/>
      </w:pPr>
      <w:bookmarkStart w:id="38" w:name="_Toc461542575"/>
      <w:r>
        <w:t>8. Anne</w:t>
      </w:r>
      <w:r w:rsidR="00457F3C" w:rsidRPr="003F41FF">
        <w:t>x</w:t>
      </w:r>
      <w:bookmarkEnd w:id="37"/>
      <w:bookmarkEnd w:id="38"/>
      <w:r w:rsidR="00457F3C" w:rsidRPr="003F41FF">
        <w:t xml:space="preserve"> </w:t>
      </w:r>
      <w:r>
        <w:t>1</w:t>
      </w:r>
    </w:p>
    <w:tbl>
      <w:tblPr>
        <w:tblW w:w="0" w:type="auto"/>
        <w:tblInd w:w="-142" w:type="dxa"/>
        <w:tblBorders>
          <w:top w:val="nil"/>
          <w:left w:val="nil"/>
          <w:bottom w:val="nil"/>
          <w:right w:val="nil"/>
        </w:tblBorders>
        <w:tblLayout w:type="fixed"/>
        <w:tblLook w:val="0000" w:firstRow="0" w:lastRow="0" w:firstColumn="0" w:lastColumn="0" w:noHBand="0" w:noVBand="0"/>
      </w:tblPr>
      <w:tblGrid>
        <w:gridCol w:w="6096"/>
        <w:gridCol w:w="2410"/>
      </w:tblGrid>
      <w:tr w:rsidR="00457F3C" w:rsidRPr="003F41FF" w14:paraId="20972DCD" w14:textId="77777777" w:rsidTr="00C91285">
        <w:trPr>
          <w:trHeight w:val="110"/>
        </w:trPr>
        <w:tc>
          <w:tcPr>
            <w:tcW w:w="6096" w:type="dxa"/>
          </w:tcPr>
          <w:p w14:paraId="2E163F4B" w14:textId="77777777" w:rsidR="00457F3C" w:rsidRPr="003F41FF" w:rsidRDefault="00457F3C" w:rsidP="00C91285">
            <w:pPr>
              <w:pStyle w:val="Default"/>
              <w:rPr>
                <w:sz w:val="22"/>
                <w:szCs w:val="22"/>
                <w:lang w:val="en-AU"/>
              </w:rPr>
            </w:pPr>
            <w:r w:rsidRPr="003F41FF">
              <w:rPr>
                <w:rFonts w:cstheme="minorBidi"/>
                <w:b/>
                <w:bCs/>
                <w:color w:val="auto"/>
                <w:sz w:val="22"/>
                <w:szCs w:val="22"/>
                <w:lang w:val="en-AU"/>
              </w:rPr>
              <w:t xml:space="preserve">A.1 List of available covariates </w:t>
            </w:r>
            <w:r w:rsidRPr="003F41FF">
              <w:rPr>
                <w:b/>
                <w:bCs/>
                <w:sz w:val="22"/>
                <w:szCs w:val="22"/>
                <w:lang w:val="en-AU"/>
              </w:rPr>
              <w:t xml:space="preserve">Description </w:t>
            </w:r>
          </w:p>
        </w:tc>
        <w:tc>
          <w:tcPr>
            <w:tcW w:w="2410" w:type="dxa"/>
          </w:tcPr>
          <w:p w14:paraId="2686E8A1" w14:textId="77777777" w:rsidR="00457F3C" w:rsidRPr="003F41FF" w:rsidRDefault="00457F3C" w:rsidP="00C91285">
            <w:pPr>
              <w:pStyle w:val="Default"/>
              <w:rPr>
                <w:sz w:val="22"/>
                <w:szCs w:val="22"/>
                <w:lang w:val="en-AU"/>
              </w:rPr>
            </w:pPr>
            <w:r w:rsidRPr="003F41FF">
              <w:rPr>
                <w:b/>
                <w:bCs/>
                <w:sz w:val="22"/>
                <w:szCs w:val="22"/>
                <w:lang w:val="en-AU"/>
              </w:rPr>
              <w:t xml:space="preserve">Type </w:t>
            </w:r>
          </w:p>
        </w:tc>
      </w:tr>
      <w:tr w:rsidR="00457F3C" w:rsidRPr="003F41FF" w14:paraId="38814FAF" w14:textId="77777777" w:rsidTr="00C91285">
        <w:trPr>
          <w:trHeight w:val="110"/>
        </w:trPr>
        <w:tc>
          <w:tcPr>
            <w:tcW w:w="6096" w:type="dxa"/>
          </w:tcPr>
          <w:p w14:paraId="62C4C59F"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WWARN Status for Pv Adj </w:t>
            </w:r>
          </w:p>
        </w:tc>
        <w:tc>
          <w:tcPr>
            <w:tcW w:w="2410" w:type="dxa"/>
          </w:tcPr>
          <w:p w14:paraId="31DE4EC9"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Primary Response </w:t>
            </w:r>
          </w:p>
        </w:tc>
      </w:tr>
      <w:tr w:rsidR="00457F3C" w:rsidRPr="003F41FF" w14:paraId="69EB1820" w14:textId="77777777" w:rsidTr="00C91285">
        <w:trPr>
          <w:trHeight w:val="110"/>
        </w:trPr>
        <w:tc>
          <w:tcPr>
            <w:tcW w:w="6096" w:type="dxa"/>
          </w:tcPr>
          <w:p w14:paraId="53DABE2C"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ETF </w:t>
            </w:r>
          </w:p>
        </w:tc>
        <w:tc>
          <w:tcPr>
            <w:tcW w:w="2410" w:type="dxa"/>
          </w:tcPr>
          <w:p w14:paraId="09BE7069"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Secondary Response </w:t>
            </w:r>
          </w:p>
        </w:tc>
      </w:tr>
      <w:tr w:rsidR="00457F3C" w:rsidRPr="003F41FF" w14:paraId="52B6BD81" w14:textId="77777777" w:rsidTr="00C91285">
        <w:trPr>
          <w:trHeight w:val="110"/>
        </w:trPr>
        <w:tc>
          <w:tcPr>
            <w:tcW w:w="6096" w:type="dxa"/>
          </w:tcPr>
          <w:p w14:paraId="7B09755D"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LCF </w:t>
            </w:r>
          </w:p>
        </w:tc>
        <w:tc>
          <w:tcPr>
            <w:tcW w:w="2410" w:type="dxa"/>
          </w:tcPr>
          <w:p w14:paraId="34E866A6"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Secondary Response </w:t>
            </w:r>
          </w:p>
        </w:tc>
      </w:tr>
      <w:tr w:rsidR="00457F3C" w:rsidRPr="003F41FF" w14:paraId="1E468F88" w14:textId="77777777" w:rsidTr="00C91285">
        <w:trPr>
          <w:trHeight w:val="110"/>
        </w:trPr>
        <w:tc>
          <w:tcPr>
            <w:tcW w:w="6096" w:type="dxa"/>
          </w:tcPr>
          <w:p w14:paraId="4790D77A"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LPF </w:t>
            </w:r>
          </w:p>
        </w:tc>
        <w:tc>
          <w:tcPr>
            <w:tcW w:w="2410" w:type="dxa"/>
          </w:tcPr>
          <w:p w14:paraId="1AA74674"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Secondary Response </w:t>
            </w:r>
          </w:p>
        </w:tc>
      </w:tr>
      <w:tr w:rsidR="00457F3C" w:rsidRPr="003F41FF" w14:paraId="74010DEC" w14:textId="77777777" w:rsidTr="00C91285">
        <w:trPr>
          <w:trHeight w:val="110"/>
        </w:trPr>
        <w:tc>
          <w:tcPr>
            <w:tcW w:w="6096" w:type="dxa"/>
          </w:tcPr>
          <w:p w14:paraId="13FD2183"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LTF </w:t>
            </w:r>
          </w:p>
        </w:tc>
        <w:tc>
          <w:tcPr>
            <w:tcW w:w="2410" w:type="dxa"/>
          </w:tcPr>
          <w:p w14:paraId="70FB4E8B"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Secondary Response </w:t>
            </w:r>
          </w:p>
        </w:tc>
      </w:tr>
      <w:tr w:rsidR="00457F3C" w:rsidRPr="003F41FF" w14:paraId="14E8E500" w14:textId="77777777" w:rsidTr="00C91285">
        <w:trPr>
          <w:trHeight w:val="110"/>
        </w:trPr>
        <w:tc>
          <w:tcPr>
            <w:tcW w:w="6096" w:type="dxa"/>
          </w:tcPr>
          <w:p w14:paraId="6780186F"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Early LTF (before D14, no PCR) </w:t>
            </w:r>
          </w:p>
        </w:tc>
        <w:tc>
          <w:tcPr>
            <w:tcW w:w="2410" w:type="dxa"/>
          </w:tcPr>
          <w:p w14:paraId="38364459"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Secondary Response </w:t>
            </w:r>
          </w:p>
        </w:tc>
      </w:tr>
      <w:tr w:rsidR="00457F3C" w:rsidRPr="003F41FF" w14:paraId="758782B0" w14:textId="77777777" w:rsidTr="00C91285">
        <w:trPr>
          <w:trHeight w:val="110"/>
        </w:trPr>
        <w:tc>
          <w:tcPr>
            <w:tcW w:w="6096" w:type="dxa"/>
          </w:tcPr>
          <w:p w14:paraId="45A5DC3C"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History of Fever (0/1) at inclusion </w:t>
            </w:r>
          </w:p>
        </w:tc>
        <w:tc>
          <w:tcPr>
            <w:tcW w:w="2410" w:type="dxa"/>
          </w:tcPr>
          <w:p w14:paraId="06FEBC39"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Baseline Variable </w:t>
            </w:r>
          </w:p>
        </w:tc>
      </w:tr>
      <w:tr w:rsidR="00457F3C" w:rsidRPr="003F41FF" w14:paraId="54BB11FB" w14:textId="77777777" w:rsidTr="00C91285">
        <w:trPr>
          <w:trHeight w:val="110"/>
        </w:trPr>
        <w:tc>
          <w:tcPr>
            <w:tcW w:w="6096" w:type="dxa"/>
          </w:tcPr>
          <w:p w14:paraId="6AAD8BAD"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Severe Malaria at inclusion </w:t>
            </w:r>
          </w:p>
        </w:tc>
        <w:tc>
          <w:tcPr>
            <w:tcW w:w="2410" w:type="dxa"/>
          </w:tcPr>
          <w:p w14:paraId="1ED461DD"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Baseline Variable </w:t>
            </w:r>
          </w:p>
        </w:tc>
      </w:tr>
      <w:tr w:rsidR="00457F3C" w:rsidRPr="003F41FF" w14:paraId="7DE75620" w14:textId="77777777" w:rsidTr="00C91285">
        <w:trPr>
          <w:trHeight w:val="110"/>
        </w:trPr>
        <w:tc>
          <w:tcPr>
            <w:tcW w:w="6096" w:type="dxa"/>
          </w:tcPr>
          <w:p w14:paraId="27ADBAF4"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Haemoglobin/hematocrit at inclusion </w:t>
            </w:r>
          </w:p>
        </w:tc>
        <w:tc>
          <w:tcPr>
            <w:tcW w:w="2410" w:type="dxa"/>
          </w:tcPr>
          <w:p w14:paraId="4EE9E447"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Baseline Variable </w:t>
            </w:r>
          </w:p>
        </w:tc>
      </w:tr>
      <w:tr w:rsidR="00457F3C" w:rsidRPr="003F41FF" w14:paraId="29E6EFAC" w14:textId="77777777" w:rsidTr="00C91285">
        <w:trPr>
          <w:trHeight w:val="110"/>
        </w:trPr>
        <w:tc>
          <w:tcPr>
            <w:tcW w:w="6096" w:type="dxa"/>
          </w:tcPr>
          <w:p w14:paraId="2EDFFDC4"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Vivax density at Inclusion </w:t>
            </w:r>
          </w:p>
        </w:tc>
        <w:tc>
          <w:tcPr>
            <w:tcW w:w="2410" w:type="dxa"/>
          </w:tcPr>
          <w:p w14:paraId="621710A8"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Baseline Variable </w:t>
            </w:r>
          </w:p>
        </w:tc>
      </w:tr>
      <w:tr w:rsidR="00457F3C" w:rsidRPr="003F41FF" w14:paraId="51065912" w14:textId="77777777" w:rsidTr="00C91285">
        <w:trPr>
          <w:trHeight w:val="110"/>
        </w:trPr>
        <w:tc>
          <w:tcPr>
            <w:tcW w:w="6096" w:type="dxa"/>
          </w:tcPr>
          <w:p w14:paraId="1B856FE1"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Gamv (/μL) at inclusion </w:t>
            </w:r>
          </w:p>
        </w:tc>
        <w:tc>
          <w:tcPr>
            <w:tcW w:w="2410" w:type="dxa"/>
          </w:tcPr>
          <w:p w14:paraId="6921CEC5"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Baseline Variable </w:t>
            </w:r>
          </w:p>
        </w:tc>
      </w:tr>
      <w:tr w:rsidR="00457F3C" w:rsidRPr="003F41FF" w14:paraId="4BA2A739" w14:textId="77777777" w:rsidTr="00C91285">
        <w:trPr>
          <w:trHeight w:val="110"/>
        </w:trPr>
        <w:tc>
          <w:tcPr>
            <w:tcW w:w="6096" w:type="dxa"/>
          </w:tcPr>
          <w:p w14:paraId="7B93EAE4"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Max Temp Day0 </w:t>
            </w:r>
          </w:p>
        </w:tc>
        <w:tc>
          <w:tcPr>
            <w:tcW w:w="2410" w:type="dxa"/>
          </w:tcPr>
          <w:p w14:paraId="74A7277C"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Baseline Variable </w:t>
            </w:r>
          </w:p>
        </w:tc>
      </w:tr>
      <w:tr w:rsidR="00457F3C" w:rsidRPr="003F41FF" w14:paraId="0C02C305" w14:textId="77777777" w:rsidTr="00C91285">
        <w:trPr>
          <w:trHeight w:val="110"/>
        </w:trPr>
        <w:tc>
          <w:tcPr>
            <w:tcW w:w="6096" w:type="dxa"/>
          </w:tcPr>
          <w:p w14:paraId="39F61431"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D0 Ht&lt;20% </w:t>
            </w:r>
          </w:p>
        </w:tc>
        <w:tc>
          <w:tcPr>
            <w:tcW w:w="2410" w:type="dxa"/>
          </w:tcPr>
          <w:p w14:paraId="30717784"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Baseline Variable </w:t>
            </w:r>
          </w:p>
        </w:tc>
      </w:tr>
      <w:tr w:rsidR="00457F3C" w:rsidRPr="003F41FF" w14:paraId="5F7F5DD0" w14:textId="77777777" w:rsidTr="00C91285">
        <w:trPr>
          <w:trHeight w:val="110"/>
        </w:trPr>
        <w:tc>
          <w:tcPr>
            <w:tcW w:w="6096" w:type="dxa"/>
          </w:tcPr>
          <w:p w14:paraId="610055E8"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Transmission intensity </w:t>
            </w:r>
          </w:p>
        </w:tc>
        <w:tc>
          <w:tcPr>
            <w:tcW w:w="2410" w:type="dxa"/>
          </w:tcPr>
          <w:p w14:paraId="64EC7CDF"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Available Variable </w:t>
            </w:r>
          </w:p>
        </w:tc>
      </w:tr>
      <w:tr w:rsidR="00457F3C" w:rsidRPr="003F41FF" w14:paraId="411452F0" w14:textId="77777777" w:rsidTr="00C91285">
        <w:trPr>
          <w:trHeight w:val="110"/>
        </w:trPr>
        <w:tc>
          <w:tcPr>
            <w:tcW w:w="6096" w:type="dxa"/>
          </w:tcPr>
          <w:p w14:paraId="343ED67F" w14:textId="77777777" w:rsidR="00457F3C" w:rsidRPr="003F41FF" w:rsidRDefault="00457F3C" w:rsidP="00C91285">
            <w:pPr>
              <w:pStyle w:val="Default"/>
              <w:rPr>
                <w:color w:val="000000" w:themeColor="text1"/>
                <w:sz w:val="22"/>
                <w:szCs w:val="22"/>
                <w:lang w:val="en-AU"/>
              </w:rPr>
            </w:pPr>
            <w:r w:rsidRPr="003F41FF">
              <w:rPr>
                <w:rFonts w:asciiTheme="minorHAnsi" w:hAnsiTheme="minorHAnsi" w:cstheme="minorHAnsi"/>
                <w:color w:val="000000" w:themeColor="text1"/>
                <w:sz w:val="22"/>
                <w:szCs w:val="22"/>
                <w:lang w:val="en-AU"/>
              </w:rPr>
              <w:t>Relapse periodicity region</w:t>
            </w:r>
          </w:p>
        </w:tc>
        <w:tc>
          <w:tcPr>
            <w:tcW w:w="2410" w:type="dxa"/>
          </w:tcPr>
          <w:p w14:paraId="69B7891F"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Available Variable </w:t>
            </w:r>
          </w:p>
        </w:tc>
      </w:tr>
      <w:tr w:rsidR="00457F3C" w:rsidRPr="003F41FF" w14:paraId="573AE841" w14:textId="77777777" w:rsidTr="00C91285">
        <w:trPr>
          <w:trHeight w:val="110"/>
        </w:trPr>
        <w:tc>
          <w:tcPr>
            <w:tcW w:w="6096" w:type="dxa"/>
          </w:tcPr>
          <w:p w14:paraId="43BE9183" w14:textId="77777777" w:rsidR="00457F3C" w:rsidRPr="003F41FF" w:rsidRDefault="00457F3C" w:rsidP="00C91285">
            <w:pPr>
              <w:pStyle w:val="Default"/>
              <w:rPr>
                <w:color w:val="000000" w:themeColor="text1"/>
                <w:sz w:val="22"/>
                <w:szCs w:val="22"/>
                <w:lang w:val="en-AU"/>
              </w:rPr>
            </w:pPr>
            <w:r w:rsidRPr="003F41FF">
              <w:rPr>
                <w:rFonts w:cstheme="minorHAnsi"/>
                <w:color w:val="000000" w:themeColor="text1"/>
                <w:sz w:val="22"/>
                <w:szCs w:val="22"/>
                <w:lang w:val="en-AU"/>
              </w:rPr>
              <w:t>Chloroquine resistance</w:t>
            </w:r>
          </w:p>
        </w:tc>
        <w:tc>
          <w:tcPr>
            <w:tcW w:w="2410" w:type="dxa"/>
          </w:tcPr>
          <w:p w14:paraId="00E11DA5"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Available Variable </w:t>
            </w:r>
          </w:p>
        </w:tc>
      </w:tr>
      <w:tr w:rsidR="00457F3C" w:rsidRPr="003F41FF" w14:paraId="4B693994" w14:textId="77777777" w:rsidTr="00C91285">
        <w:trPr>
          <w:trHeight w:val="110"/>
        </w:trPr>
        <w:tc>
          <w:tcPr>
            <w:tcW w:w="6096" w:type="dxa"/>
          </w:tcPr>
          <w:p w14:paraId="09ECF0FE"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Age in Years </w:t>
            </w:r>
          </w:p>
        </w:tc>
        <w:tc>
          <w:tcPr>
            <w:tcW w:w="2410" w:type="dxa"/>
          </w:tcPr>
          <w:p w14:paraId="61E5E403"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Available Variable </w:t>
            </w:r>
          </w:p>
        </w:tc>
      </w:tr>
      <w:tr w:rsidR="00457F3C" w:rsidRPr="003F41FF" w14:paraId="7A31E2F5" w14:textId="77777777" w:rsidTr="00C91285">
        <w:trPr>
          <w:trHeight w:val="110"/>
        </w:trPr>
        <w:tc>
          <w:tcPr>
            <w:tcW w:w="6096" w:type="dxa"/>
          </w:tcPr>
          <w:p w14:paraId="1ED2D196"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Gender </w:t>
            </w:r>
          </w:p>
        </w:tc>
        <w:tc>
          <w:tcPr>
            <w:tcW w:w="2410" w:type="dxa"/>
          </w:tcPr>
          <w:p w14:paraId="18BF33C6"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Available Variable </w:t>
            </w:r>
          </w:p>
        </w:tc>
      </w:tr>
      <w:tr w:rsidR="00457F3C" w:rsidRPr="003F41FF" w14:paraId="6529924D" w14:textId="77777777" w:rsidTr="00C91285">
        <w:trPr>
          <w:trHeight w:val="110"/>
        </w:trPr>
        <w:tc>
          <w:tcPr>
            <w:tcW w:w="6096" w:type="dxa"/>
          </w:tcPr>
          <w:p w14:paraId="66DCBB66"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Weight </w:t>
            </w:r>
          </w:p>
        </w:tc>
        <w:tc>
          <w:tcPr>
            <w:tcW w:w="2410" w:type="dxa"/>
          </w:tcPr>
          <w:p w14:paraId="3D0E358F"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Available Variable </w:t>
            </w:r>
          </w:p>
        </w:tc>
      </w:tr>
      <w:tr w:rsidR="00457F3C" w:rsidRPr="003F41FF" w14:paraId="1C34814D" w14:textId="77777777" w:rsidTr="00C91285">
        <w:trPr>
          <w:trHeight w:val="110"/>
        </w:trPr>
        <w:tc>
          <w:tcPr>
            <w:tcW w:w="6096" w:type="dxa"/>
          </w:tcPr>
          <w:p w14:paraId="06DE8EA2"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Height</w:t>
            </w:r>
          </w:p>
        </w:tc>
        <w:tc>
          <w:tcPr>
            <w:tcW w:w="2410" w:type="dxa"/>
          </w:tcPr>
          <w:p w14:paraId="23129D97"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Available Variable</w:t>
            </w:r>
          </w:p>
        </w:tc>
      </w:tr>
      <w:tr w:rsidR="00457F3C" w:rsidRPr="003F41FF" w14:paraId="6442D796" w14:textId="77777777" w:rsidTr="00C91285">
        <w:trPr>
          <w:trHeight w:val="110"/>
        </w:trPr>
        <w:tc>
          <w:tcPr>
            <w:tcW w:w="6096" w:type="dxa"/>
          </w:tcPr>
          <w:p w14:paraId="2551197A"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Middle upper arm circumference</w:t>
            </w:r>
          </w:p>
        </w:tc>
        <w:tc>
          <w:tcPr>
            <w:tcW w:w="2410" w:type="dxa"/>
          </w:tcPr>
          <w:p w14:paraId="334B2122"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Available Variable</w:t>
            </w:r>
          </w:p>
        </w:tc>
      </w:tr>
      <w:tr w:rsidR="00457F3C" w:rsidRPr="003F41FF" w14:paraId="78D67FD5" w14:textId="77777777" w:rsidTr="00C91285">
        <w:trPr>
          <w:trHeight w:val="110"/>
        </w:trPr>
        <w:tc>
          <w:tcPr>
            <w:tcW w:w="6096" w:type="dxa"/>
          </w:tcPr>
          <w:p w14:paraId="73558535"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Antimalarial in last 28 days </w:t>
            </w:r>
          </w:p>
        </w:tc>
        <w:tc>
          <w:tcPr>
            <w:tcW w:w="2410" w:type="dxa"/>
          </w:tcPr>
          <w:p w14:paraId="32E43BCA"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Available Variable </w:t>
            </w:r>
          </w:p>
        </w:tc>
      </w:tr>
      <w:tr w:rsidR="00457F3C" w:rsidRPr="003F41FF" w14:paraId="3D3F2386" w14:textId="77777777" w:rsidTr="00C91285">
        <w:trPr>
          <w:trHeight w:val="110"/>
        </w:trPr>
        <w:tc>
          <w:tcPr>
            <w:tcW w:w="6096" w:type="dxa"/>
          </w:tcPr>
          <w:p w14:paraId="57F30B35"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Malaria in last 28 days</w:t>
            </w:r>
          </w:p>
        </w:tc>
        <w:tc>
          <w:tcPr>
            <w:tcW w:w="2410" w:type="dxa"/>
          </w:tcPr>
          <w:p w14:paraId="2201E1C6"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Available Variable</w:t>
            </w:r>
          </w:p>
        </w:tc>
      </w:tr>
      <w:tr w:rsidR="00457F3C" w:rsidRPr="003F41FF" w14:paraId="59A3CCE5" w14:textId="77777777" w:rsidTr="00C91285">
        <w:trPr>
          <w:trHeight w:val="110"/>
        </w:trPr>
        <w:tc>
          <w:tcPr>
            <w:tcW w:w="6096" w:type="dxa"/>
          </w:tcPr>
          <w:p w14:paraId="3A42A72B"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G6PD status</w:t>
            </w:r>
          </w:p>
        </w:tc>
        <w:tc>
          <w:tcPr>
            <w:tcW w:w="2410" w:type="dxa"/>
          </w:tcPr>
          <w:p w14:paraId="2A13EE25"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Available variable</w:t>
            </w:r>
          </w:p>
        </w:tc>
      </w:tr>
      <w:tr w:rsidR="00457F3C" w:rsidRPr="003F41FF" w14:paraId="3CCC9D27" w14:textId="77777777" w:rsidTr="00C91285">
        <w:trPr>
          <w:trHeight w:val="110"/>
        </w:trPr>
        <w:tc>
          <w:tcPr>
            <w:tcW w:w="6096" w:type="dxa"/>
          </w:tcPr>
          <w:p w14:paraId="7BF843A8"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Parasite density at Inclusion </w:t>
            </w:r>
          </w:p>
        </w:tc>
        <w:tc>
          <w:tcPr>
            <w:tcW w:w="2410" w:type="dxa"/>
          </w:tcPr>
          <w:p w14:paraId="7E487565"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Available Variable </w:t>
            </w:r>
          </w:p>
        </w:tc>
      </w:tr>
      <w:tr w:rsidR="00457F3C" w:rsidRPr="003F41FF" w14:paraId="7D688EB6" w14:textId="77777777" w:rsidTr="00C91285">
        <w:trPr>
          <w:trHeight w:val="110"/>
        </w:trPr>
        <w:tc>
          <w:tcPr>
            <w:tcW w:w="6096" w:type="dxa"/>
          </w:tcPr>
          <w:p w14:paraId="10B5A595"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Max Vivax Asexual parasitaemia on Day1 </w:t>
            </w:r>
          </w:p>
        </w:tc>
        <w:tc>
          <w:tcPr>
            <w:tcW w:w="2410" w:type="dxa"/>
          </w:tcPr>
          <w:p w14:paraId="239DF263"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Available Variable </w:t>
            </w:r>
          </w:p>
        </w:tc>
      </w:tr>
      <w:tr w:rsidR="00457F3C" w:rsidRPr="003F41FF" w14:paraId="06128E5C" w14:textId="77777777" w:rsidTr="00C91285">
        <w:trPr>
          <w:trHeight w:val="110"/>
        </w:trPr>
        <w:tc>
          <w:tcPr>
            <w:tcW w:w="6096" w:type="dxa"/>
          </w:tcPr>
          <w:p w14:paraId="2F37D8A6"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Max Vivax Asexual parasitaemia on Day2 </w:t>
            </w:r>
          </w:p>
        </w:tc>
        <w:tc>
          <w:tcPr>
            <w:tcW w:w="2410" w:type="dxa"/>
          </w:tcPr>
          <w:p w14:paraId="0C7F2DF4"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Available Variable </w:t>
            </w:r>
          </w:p>
        </w:tc>
      </w:tr>
      <w:tr w:rsidR="00457F3C" w:rsidRPr="003F41FF" w14:paraId="5D4A053D" w14:textId="77777777" w:rsidTr="00C91285">
        <w:trPr>
          <w:trHeight w:val="110"/>
        </w:trPr>
        <w:tc>
          <w:tcPr>
            <w:tcW w:w="6096" w:type="dxa"/>
          </w:tcPr>
          <w:p w14:paraId="10EC130D"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Max Vivax Asexual parasitaemia on Day3 </w:t>
            </w:r>
          </w:p>
        </w:tc>
        <w:tc>
          <w:tcPr>
            <w:tcW w:w="2410" w:type="dxa"/>
          </w:tcPr>
          <w:p w14:paraId="4BA392F8"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Available Variable </w:t>
            </w:r>
          </w:p>
        </w:tc>
      </w:tr>
      <w:tr w:rsidR="00457F3C" w:rsidRPr="003F41FF" w14:paraId="34EAE1D3" w14:textId="77777777" w:rsidTr="00C91285">
        <w:trPr>
          <w:trHeight w:val="110"/>
        </w:trPr>
        <w:tc>
          <w:tcPr>
            <w:tcW w:w="6096" w:type="dxa"/>
          </w:tcPr>
          <w:p w14:paraId="7BB7EA7F"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Max Vivax gametocytaemia on Day1</w:t>
            </w:r>
          </w:p>
        </w:tc>
        <w:tc>
          <w:tcPr>
            <w:tcW w:w="2410" w:type="dxa"/>
          </w:tcPr>
          <w:p w14:paraId="59ABF535"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Available Variable</w:t>
            </w:r>
          </w:p>
        </w:tc>
      </w:tr>
      <w:tr w:rsidR="00457F3C" w:rsidRPr="003F41FF" w14:paraId="6270D2DF" w14:textId="77777777" w:rsidTr="00C91285">
        <w:trPr>
          <w:trHeight w:val="110"/>
        </w:trPr>
        <w:tc>
          <w:tcPr>
            <w:tcW w:w="6096" w:type="dxa"/>
          </w:tcPr>
          <w:p w14:paraId="31E620E3"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Max Vivax gametocytaemia on Day2</w:t>
            </w:r>
          </w:p>
        </w:tc>
        <w:tc>
          <w:tcPr>
            <w:tcW w:w="2410" w:type="dxa"/>
          </w:tcPr>
          <w:p w14:paraId="64887802"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Available Variable</w:t>
            </w:r>
          </w:p>
        </w:tc>
      </w:tr>
      <w:tr w:rsidR="00457F3C" w:rsidRPr="003F41FF" w14:paraId="328E2362" w14:textId="77777777" w:rsidTr="00C91285">
        <w:trPr>
          <w:trHeight w:val="110"/>
        </w:trPr>
        <w:tc>
          <w:tcPr>
            <w:tcW w:w="6096" w:type="dxa"/>
          </w:tcPr>
          <w:p w14:paraId="1D568F4E"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Max Vivax gametocytaemia on Day3</w:t>
            </w:r>
          </w:p>
        </w:tc>
        <w:tc>
          <w:tcPr>
            <w:tcW w:w="2410" w:type="dxa"/>
          </w:tcPr>
          <w:p w14:paraId="1CC45218"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Available Variable</w:t>
            </w:r>
          </w:p>
        </w:tc>
      </w:tr>
      <w:tr w:rsidR="00457F3C" w:rsidRPr="003F41FF" w14:paraId="3BF7DE44" w14:textId="77777777" w:rsidTr="00C91285">
        <w:trPr>
          <w:trHeight w:val="110"/>
        </w:trPr>
        <w:tc>
          <w:tcPr>
            <w:tcW w:w="6096" w:type="dxa"/>
          </w:tcPr>
          <w:p w14:paraId="11F03714"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Max Temp Day1 </w:t>
            </w:r>
          </w:p>
        </w:tc>
        <w:tc>
          <w:tcPr>
            <w:tcW w:w="2410" w:type="dxa"/>
          </w:tcPr>
          <w:p w14:paraId="477DB0E3"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Available Variable </w:t>
            </w:r>
          </w:p>
        </w:tc>
      </w:tr>
      <w:tr w:rsidR="00457F3C" w:rsidRPr="003F41FF" w14:paraId="0BF9EE51" w14:textId="77777777" w:rsidTr="00C91285">
        <w:trPr>
          <w:trHeight w:val="110"/>
        </w:trPr>
        <w:tc>
          <w:tcPr>
            <w:tcW w:w="6096" w:type="dxa"/>
          </w:tcPr>
          <w:p w14:paraId="2F169C76"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Max Temp Day2 </w:t>
            </w:r>
          </w:p>
        </w:tc>
        <w:tc>
          <w:tcPr>
            <w:tcW w:w="2410" w:type="dxa"/>
          </w:tcPr>
          <w:p w14:paraId="117D38D5"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Available Variable </w:t>
            </w:r>
          </w:p>
        </w:tc>
      </w:tr>
      <w:tr w:rsidR="00457F3C" w:rsidRPr="003F41FF" w14:paraId="1D6F6EC4" w14:textId="77777777" w:rsidTr="00C91285">
        <w:trPr>
          <w:trHeight w:val="110"/>
        </w:trPr>
        <w:tc>
          <w:tcPr>
            <w:tcW w:w="6096" w:type="dxa"/>
          </w:tcPr>
          <w:p w14:paraId="0E384FFA"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Max Temp Day3 </w:t>
            </w:r>
          </w:p>
        </w:tc>
        <w:tc>
          <w:tcPr>
            <w:tcW w:w="2410" w:type="dxa"/>
          </w:tcPr>
          <w:p w14:paraId="2160E64A"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Available Variable </w:t>
            </w:r>
          </w:p>
        </w:tc>
      </w:tr>
      <w:tr w:rsidR="00457F3C" w:rsidRPr="003F41FF" w14:paraId="64578206" w14:textId="77777777" w:rsidTr="00C91285">
        <w:trPr>
          <w:trHeight w:val="110"/>
        </w:trPr>
        <w:tc>
          <w:tcPr>
            <w:tcW w:w="6096" w:type="dxa"/>
          </w:tcPr>
          <w:p w14:paraId="56F90C6D"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Day 7 drug levels</w:t>
            </w:r>
          </w:p>
        </w:tc>
        <w:tc>
          <w:tcPr>
            <w:tcW w:w="2410" w:type="dxa"/>
          </w:tcPr>
          <w:p w14:paraId="2B5E866B"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Available Variable</w:t>
            </w:r>
          </w:p>
        </w:tc>
      </w:tr>
      <w:tr w:rsidR="00457F3C" w:rsidRPr="003F41FF" w14:paraId="7C85D769" w14:textId="77777777" w:rsidTr="00C91285">
        <w:trPr>
          <w:trHeight w:val="110"/>
        </w:trPr>
        <w:tc>
          <w:tcPr>
            <w:tcW w:w="6096" w:type="dxa"/>
          </w:tcPr>
          <w:p w14:paraId="0C240124"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Dosing method (single day, broken down over days etc.) </w:t>
            </w:r>
          </w:p>
        </w:tc>
        <w:tc>
          <w:tcPr>
            <w:tcW w:w="2410" w:type="dxa"/>
          </w:tcPr>
          <w:p w14:paraId="5C4C7733"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Available Variable </w:t>
            </w:r>
          </w:p>
        </w:tc>
      </w:tr>
      <w:tr w:rsidR="00457F3C" w:rsidRPr="003F41FF" w14:paraId="18A1CB9E" w14:textId="77777777" w:rsidTr="00C91285">
        <w:trPr>
          <w:trHeight w:val="110"/>
        </w:trPr>
        <w:tc>
          <w:tcPr>
            <w:tcW w:w="6096" w:type="dxa"/>
          </w:tcPr>
          <w:p w14:paraId="35A5C8F6"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Total mg/kg dose at each day of dosing regimen </w:t>
            </w:r>
          </w:p>
        </w:tc>
        <w:tc>
          <w:tcPr>
            <w:tcW w:w="2410" w:type="dxa"/>
          </w:tcPr>
          <w:p w14:paraId="341B5BE9"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Available Variable </w:t>
            </w:r>
          </w:p>
        </w:tc>
      </w:tr>
      <w:tr w:rsidR="00457F3C" w:rsidRPr="003F41FF" w14:paraId="037657BC" w14:textId="77777777" w:rsidTr="00C91285">
        <w:trPr>
          <w:trHeight w:val="110"/>
        </w:trPr>
        <w:tc>
          <w:tcPr>
            <w:tcW w:w="6096" w:type="dxa"/>
          </w:tcPr>
          <w:p w14:paraId="120D3B4D"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Total mg/kg dose during course </w:t>
            </w:r>
          </w:p>
        </w:tc>
        <w:tc>
          <w:tcPr>
            <w:tcW w:w="2410" w:type="dxa"/>
          </w:tcPr>
          <w:p w14:paraId="20A8B6B7" w14:textId="77777777" w:rsidR="00457F3C" w:rsidRPr="003F41FF" w:rsidRDefault="00457F3C" w:rsidP="00C91285">
            <w:pPr>
              <w:pStyle w:val="Default"/>
              <w:rPr>
                <w:color w:val="000000" w:themeColor="text1"/>
                <w:sz w:val="22"/>
                <w:szCs w:val="22"/>
                <w:lang w:val="en-AU"/>
              </w:rPr>
            </w:pPr>
            <w:r w:rsidRPr="003F41FF">
              <w:rPr>
                <w:color w:val="000000" w:themeColor="text1"/>
                <w:sz w:val="22"/>
                <w:szCs w:val="22"/>
                <w:lang w:val="en-AU"/>
              </w:rPr>
              <w:t xml:space="preserve">Available Variable </w:t>
            </w:r>
          </w:p>
        </w:tc>
      </w:tr>
    </w:tbl>
    <w:p w14:paraId="6E10852F" w14:textId="77777777" w:rsidR="00457F3C" w:rsidRPr="003F41FF" w:rsidRDefault="00457F3C" w:rsidP="00457F3C">
      <w:pPr>
        <w:rPr>
          <w:color w:val="FF0000"/>
          <w:lang w:val="en-AU"/>
        </w:rPr>
      </w:pPr>
    </w:p>
    <w:p w14:paraId="6E4C3F06" w14:textId="47FE39C5" w:rsidR="002330F9" w:rsidRPr="002330F9" w:rsidRDefault="002330F9" w:rsidP="002330F9">
      <w:pPr>
        <w:pStyle w:val="Heading2"/>
        <w:rPr>
          <w:rFonts w:asciiTheme="majorHAnsi" w:hAnsiTheme="majorHAnsi"/>
          <w:i w:val="0"/>
          <w:color w:val="0070C0"/>
          <w:sz w:val="32"/>
          <w:szCs w:val="32"/>
        </w:rPr>
      </w:pPr>
      <w:r>
        <w:rPr>
          <w:rFonts w:asciiTheme="majorHAnsi" w:hAnsiTheme="majorHAnsi"/>
          <w:i w:val="0"/>
          <w:color w:val="0070C0"/>
          <w:sz w:val="32"/>
          <w:szCs w:val="32"/>
        </w:rPr>
        <w:t xml:space="preserve">9. </w:t>
      </w:r>
      <w:bookmarkStart w:id="39" w:name="_Toc461542565"/>
      <w:r w:rsidRPr="002330F9">
        <w:rPr>
          <w:rFonts w:asciiTheme="majorHAnsi" w:hAnsiTheme="majorHAnsi"/>
          <w:i w:val="0"/>
          <w:color w:val="0070C0"/>
          <w:sz w:val="32"/>
          <w:szCs w:val="32"/>
        </w:rPr>
        <w:t xml:space="preserve">Annex 2 </w:t>
      </w:r>
      <w:r>
        <w:rPr>
          <w:rFonts w:asciiTheme="majorHAnsi" w:hAnsiTheme="majorHAnsi"/>
          <w:i w:val="0"/>
          <w:color w:val="0070C0"/>
          <w:sz w:val="32"/>
          <w:szCs w:val="32"/>
        </w:rPr>
        <w:t xml:space="preserve">- </w:t>
      </w:r>
      <w:r w:rsidRPr="002330F9">
        <w:rPr>
          <w:rFonts w:asciiTheme="majorHAnsi" w:hAnsiTheme="majorHAnsi"/>
          <w:i w:val="0"/>
          <w:color w:val="0070C0"/>
          <w:sz w:val="32"/>
          <w:szCs w:val="32"/>
        </w:rPr>
        <w:t xml:space="preserve">Model </w:t>
      </w:r>
      <w:bookmarkEnd w:id="39"/>
      <w:r w:rsidR="000A744B">
        <w:rPr>
          <w:rFonts w:asciiTheme="majorHAnsi" w:hAnsiTheme="majorHAnsi"/>
          <w:i w:val="0"/>
          <w:color w:val="0070C0"/>
          <w:sz w:val="32"/>
          <w:szCs w:val="32"/>
        </w:rPr>
        <w:t>analysis</w:t>
      </w:r>
      <w:r w:rsidRPr="002330F9">
        <w:rPr>
          <w:rFonts w:asciiTheme="majorHAnsi" w:hAnsiTheme="majorHAnsi"/>
          <w:i w:val="0"/>
          <w:color w:val="0070C0"/>
          <w:sz w:val="32"/>
          <w:szCs w:val="32"/>
        </w:rPr>
        <w:t xml:space="preserve"> </w:t>
      </w:r>
    </w:p>
    <w:p w14:paraId="2737EBE9" w14:textId="4BC2A723" w:rsidR="002330F9" w:rsidRPr="003F41FF" w:rsidRDefault="002330F9" w:rsidP="002330F9">
      <w:pPr>
        <w:pStyle w:val="Default"/>
        <w:spacing w:line="276" w:lineRule="auto"/>
        <w:rPr>
          <w:rFonts w:asciiTheme="minorHAnsi" w:hAnsiTheme="minorHAnsi"/>
          <w:color w:val="000000" w:themeColor="text1"/>
          <w:sz w:val="22"/>
          <w:szCs w:val="22"/>
          <w:lang w:val="en-AU"/>
        </w:rPr>
      </w:pPr>
      <w:r w:rsidRPr="003F41FF">
        <w:rPr>
          <w:rFonts w:asciiTheme="minorHAnsi" w:hAnsiTheme="minorHAnsi"/>
          <w:color w:val="000000" w:themeColor="text1"/>
          <w:sz w:val="22"/>
          <w:szCs w:val="22"/>
          <w:lang w:val="en-AU"/>
        </w:rPr>
        <w:t>The final model</w:t>
      </w:r>
      <w:r w:rsidR="000A744B">
        <w:rPr>
          <w:rFonts w:asciiTheme="minorHAnsi" w:hAnsiTheme="minorHAnsi"/>
          <w:color w:val="000000" w:themeColor="text1"/>
          <w:sz w:val="22"/>
          <w:szCs w:val="22"/>
          <w:lang w:val="en-AU"/>
        </w:rPr>
        <w:t>s</w:t>
      </w:r>
      <w:r w:rsidRPr="003F41FF">
        <w:rPr>
          <w:rFonts w:asciiTheme="minorHAnsi" w:hAnsiTheme="minorHAnsi"/>
          <w:color w:val="000000" w:themeColor="text1"/>
          <w:sz w:val="22"/>
          <w:szCs w:val="22"/>
          <w:lang w:val="en-AU"/>
        </w:rPr>
        <w:t xml:space="preserve"> will be used to estimate the hazards ratio (HR) for the under-dosed group (optimal cutoff derived from the data) relative to the normally dosed group of patients. Cox-Snell’s residuals, Martingale’s residuals and Schoenfeld’s residuals will be examined to determine the appropriateness of model fit </w:t>
      </w:r>
      <w:r>
        <w:rPr>
          <w:rFonts w:asciiTheme="minorHAnsi" w:hAnsiTheme="minorHAnsi"/>
          <w:color w:val="000000" w:themeColor="text1"/>
          <w:sz w:val="22"/>
          <w:szCs w:val="22"/>
          <w:lang w:val="en-AU"/>
        </w:rPr>
        <w:fldChar w:fldCharType="begin"/>
      </w:r>
      <w:r>
        <w:rPr>
          <w:rFonts w:asciiTheme="minorHAnsi" w:hAnsiTheme="minorHAnsi"/>
          <w:color w:val="000000" w:themeColor="text1"/>
          <w:sz w:val="22"/>
          <w:szCs w:val="22"/>
          <w:lang w:val="en-AU"/>
        </w:rPr>
        <w:instrText xml:space="preserve"> ADDIN EN.CITE &lt;EndNote&gt;&lt;Cite&gt;&lt;Author&gt;Schoenfeld&lt;/Author&gt;&lt;Year&gt;1982&lt;/Year&gt;&lt;RecNum&gt;61&lt;/RecNum&gt;&lt;DisplayText&gt;(10)&lt;/DisplayText&gt;&lt;record&gt;&lt;rec-number&gt;61&lt;/rec-number&gt;&lt;foreign-keys&gt;&lt;key app="EN" db-id="zrz59pvfoxvewle2ee8xrwt2292evzwdsrse" timestamp="0"&gt;61&lt;/key&gt;&lt;/foreign-keys&gt;&lt;ref-type name="Journal Article"&gt;17&lt;/ref-type&gt;&lt;contributors&gt;&lt;authors&gt;&lt;author&gt;Schoenfeld, D&lt;/author&gt;&lt;/authors&gt;&lt;/contributors&gt;&lt;titles&gt;&lt;title&gt;Partial residuals for the proportional hazards regression model&lt;/title&gt;&lt;secondary-title&gt;Biometrika&lt;/secondary-title&gt;&lt;/titles&gt;&lt;pages&gt;239-241&lt;/pages&gt;&lt;volume&gt;69&lt;/volume&gt;&lt;dates&gt;&lt;year&gt;1982&lt;/year&gt;&lt;/dates&gt;&lt;urls&gt;&lt;/urls&gt;&lt;/record&gt;&lt;/Cite&gt;&lt;/EndNote&gt;</w:instrText>
      </w:r>
      <w:r>
        <w:rPr>
          <w:rFonts w:asciiTheme="minorHAnsi" w:hAnsiTheme="minorHAnsi"/>
          <w:color w:val="000000" w:themeColor="text1"/>
          <w:sz w:val="22"/>
          <w:szCs w:val="22"/>
          <w:lang w:val="en-AU"/>
        </w:rPr>
        <w:fldChar w:fldCharType="separate"/>
      </w:r>
      <w:r>
        <w:rPr>
          <w:rFonts w:asciiTheme="minorHAnsi" w:hAnsiTheme="minorHAnsi"/>
          <w:noProof/>
          <w:color w:val="000000" w:themeColor="text1"/>
          <w:sz w:val="22"/>
          <w:szCs w:val="22"/>
          <w:lang w:val="en-AU"/>
        </w:rPr>
        <w:t>(10)</w:t>
      </w:r>
      <w:r>
        <w:rPr>
          <w:rFonts w:asciiTheme="minorHAnsi" w:hAnsiTheme="minorHAnsi"/>
          <w:color w:val="000000" w:themeColor="text1"/>
          <w:sz w:val="22"/>
          <w:szCs w:val="22"/>
          <w:lang w:val="en-AU"/>
        </w:rPr>
        <w:fldChar w:fldCharType="end"/>
      </w:r>
      <w:r w:rsidRPr="003F41FF">
        <w:rPr>
          <w:rFonts w:asciiTheme="minorHAnsi" w:hAnsiTheme="minorHAnsi"/>
          <w:color w:val="000000" w:themeColor="text1"/>
          <w:sz w:val="22"/>
          <w:szCs w:val="22"/>
          <w:lang w:val="en-AU"/>
        </w:rPr>
        <w:t xml:space="preserve">. </w:t>
      </w:r>
    </w:p>
    <w:p w14:paraId="4F16C174" w14:textId="77777777" w:rsidR="0059015A" w:rsidRPr="0059015A" w:rsidRDefault="0059015A" w:rsidP="0059015A">
      <w:pPr>
        <w:pStyle w:val="Default"/>
        <w:spacing w:line="276" w:lineRule="auto"/>
        <w:rPr>
          <w:rFonts w:asciiTheme="minorHAnsi" w:hAnsiTheme="minorHAnsi"/>
          <w:color w:val="000000" w:themeColor="text1"/>
          <w:sz w:val="22"/>
          <w:szCs w:val="22"/>
          <w:lang w:val="en-AU"/>
        </w:rPr>
      </w:pPr>
    </w:p>
    <w:p w14:paraId="3CE1BBDC" w14:textId="4E998AEA" w:rsidR="00A4255F" w:rsidRDefault="0059015A" w:rsidP="0059015A">
      <w:pPr>
        <w:pStyle w:val="Default"/>
        <w:spacing w:line="276" w:lineRule="auto"/>
        <w:rPr>
          <w:rFonts w:asciiTheme="minorHAnsi" w:hAnsiTheme="minorHAnsi"/>
          <w:color w:val="000000" w:themeColor="text1"/>
          <w:sz w:val="22"/>
          <w:szCs w:val="22"/>
          <w:lang w:val="en-AU"/>
        </w:rPr>
      </w:pPr>
      <w:r w:rsidRPr="003F41FF">
        <w:rPr>
          <w:rFonts w:asciiTheme="minorHAnsi" w:hAnsiTheme="minorHAnsi"/>
          <w:color w:val="000000" w:themeColor="text1"/>
          <w:sz w:val="22"/>
          <w:szCs w:val="22"/>
          <w:lang w:val="en-AU"/>
        </w:rPr>
        <w:t xml:space="preserve">The assumption of proportionality will be tested for all the covariates in the final multivariable model and any departures of proportionality will be reported. Schoenfeld residuals against transformed time for the dosing group will be used to determine if the assumptions of PH across different dosing groups are reasonable. Any systematic departures from horizontal lines are indicative of non-proportional hazards </w:t>
      </w:r>
      <w:r>
        <w:rPr>
          <w:rFonts w:asciiTheme="minorHAnsi" w:hAnsiTheme="minorHAnsi"/>
          <w:color w:val="000000" w:themeColor="text1"/>
          <w:sz w:val="22"/>
          <w:szCs w:val="22"/>
          <w:lang w:val="en-AU"/>
        </w:rPr>
        <w:fldChar w:fldCharType="begin"/>
      </w:r>
      <w:r>
        <w:rPr>
          <w:rFonts w:asciiTheme="minorHAnsi" w:hAnsiTheme="minorHAnsi"/>
          <w:color w:val="000000" w:themeColor="text1"/>
          <w:sz w:val="22"/>
          <w:szCs w:val="22"/>
          <w:lang w:val="en-AU"/>
        </w:rPr>
        <w:instrText xml:space="preserve"> ADDIN EN.CITE &lt;EndNote&gt;&lt;Cite&gt;&lt;Author&gt;Schoenfeld&lt;/Author&gt;&lt;Year&gt;1982&lt;/Year&gt;&lt;RecNum&gt;61&lt;/RecNum&gt;&lt;DisplayText&gt;(10)&lt;/DisplayText&gt;&lt;record&gt;&lt;rec-number&gt;61&lt;/rec-number&gt;&lt;foreign-keys&gt;&lt;key app="EN" db-id="zrz59pvfoxvewle2ee8xrwt2292evzwdsrse" timestamp="0"&gt;61&lt;/key&gt;&lt;/foreign-keys&gt;&lt;ref-type name="Journal Article"&gt;17&lt;/ref-type&gt;&lt;contributors&gt;&lt;authors&gt;&lt;author&gt;Schoenfeld, D&lt;/author&gt;&lt;/authors&gt;&lt;/contributors&gt;&lt;titles&gt;&lt;title&gt;Partial residuals for the proportional hazards regression model&lt;/title&gt;&lt;secondary-title&gt;Biometrika&lt;/secondary-title&gt;&lt;/titles&gt;&lt;pages&gt;239-241&lt;/pages&gt;&lt;volume&gt;69&lt;/volume&gt;&lt;dates&gt;&lt;year&gt;1982&lt;/year&gt;&lt;/dates&gt;&lt;urls&gt;&lt;/urls&gt;&lt;/record&gt;&lt;/Cite&gt;&lt;/EndNote&gt;</w:instrText>
      </w:r>
      <w:r>
        <w:rPr>
          <w:rFonts w:asciiTheme="minorHAnsi" w:hAnsiTheme="minorHAnsi"/>
          <w:color w:val="000000" w:themeColor="text1"/>
          <w:sz w:val="22"/>
          <w:szCs w:val="22"/>
          <w:lang w:val="en-AU"/>
        </w:rPr>
        <w:fldChar w:fldCharType="separate"/>
      </w:r>
      <w:r>
        <w:rPr>
          <w:rFonts w:asciiTheme="minorHAnsi" w:hAnsiTheme="minorHAnsi"/>
          <w:noProof/>
          <w:color w:val="000000" w:themeColor="text1"/>
          <w:sz w:val="22"/>
          <w:szCs w:val="22"/>
          <w:lang w:val="en-AU"/>
        </w:rPr>
        <w:t>(10)</w:t>
      </w:r>
      <w:r>
        <w:rPr>
          <w:rFonts w:asciiTheme="minorHAnsi" w:hAnsiTheme="minorHAnsi"/>
          <w:color w:val="000000" w:themeColor="text1"/>
          <w:sz w:val="22"/>
          <w:szCs w:val="22"/>
          <w:lang w:val="en-AU"/>
        </w:rPr>
        <w:fldChar w:fldCharType="end"/>
      </w:r>
      <w:r w:rsidRPr="003F41FF">
        <w:rPr>
          <w:rFonts w:asciiTheme="minorHAnsi" w:hAnsiTheme="minorHAnsi"/>
          <w:color w:val="000000" w:themeColor="text1"/>
          <w:sz w:val="22"/>
          <w:szCs w:val="22"/>
          <w:lang w:val="en-AU"/>
        </w:rPr>
        <w:t>. In addition to the Schoenfeld residuals plot, a formal chi-squared test will be used to test the assumption of proportional hazards for each of the individual covariates (and globally). Any violation of the assumption of proportionality will be reported.  In case of violation of the PH assumption, interaction of the covariates and time will be fitted.</w:t>
      </w:r>
    </w:p>
    <w:p w14:paraId="73732096" w14:textId="77777777" w:rsidR="0059015A" w:rsidRPr="0059015A" w:rsidRDefault="0059015A" w:rsidP="0059015A">
      <w:pPr>
        <w:pStyle w:val="Default"/>
        <w:spacing w:line="276" w:lineRule="auto"/>
        <w:rPr>
          <w:rFonts w:asciiTheme="minorHAnsi" w:hAnsiTheme="minorHAnsi"/>
          <w:color w:val="000000" w:themeColor="text1"/>
          <w:sz w:val="22"/>
          <w:szCs w:val="22"/>
          <w:lang w:val="en-AU"/>
        </w:rPr>
      </w:pPr>
    </w:p>
    <w:p w14:paraId="015EBA1F" w14:textId="676CD8EA" w:rsidR="0059015A" w:rsidRPr="00787C61" w:rsidRDefault="0059015A" w:rsidP="00787C61">
      <w:pPr>
        <w:pStyle w:val="Default"/>
        <w:spacing w:line="276" w:lineRule="auto"/>
        <w:rPr>
          <w:rFonts w:asciiTheme="minorHAnsi" w:hAnsiTheme="minorHAnsi"/>
          <w:sz w:val="22"/>
          <w:szCs w:val="22"/>
        </w:rPr>
      </w:pPr>
      <w:r w:rsidRPr="003F41FF">
        <w:rPr>
          <w:rFonts w:asciiTheme="minorHAnsi" w:hAnsiTheme="minorHAnsi"/>
          <w:color w:val="000000" w:themeColor="text1"/>
          <w:sz w:val="22"/>
          <w:szCs w:val="22"/>
          <w:lang w:val="en-AU"/>
        </w:rPr>
        <w:t>Sensitivit</w:t>
      </w:r>
      <w:r w:rsidRPr="00787C61">
        <w:rPr>
          <w:rFonts w:asciiTheme="minorHAnsi" w:hAnsiTheme="minorHAnsi"/>
          <w:color w:val="000000" w:themeColor="text1"/>
          <w:sz w:val="22"/>
          <w:szCs w:val="22"/>
          <w:lang w:val="en-AU"/>
        </w:rPr>
        <w:t>y analysis will be carried out by removing one study site at a time and coefficient of variation (CV) around the parameter estimates will be presented.</w:t>
      </w:r>
      <w:r w:rsidR="00787C61" w:rsidRPr="00787C61">
        <w:rPr>
          <w:rFonts w:asciiTheme="minorHAnsi" w:hAnsiTheme="minorHAnsi"/>
          <w:color w:val="000000" w:themeColor="text1"/>
          <w:sz w:val="22"/>
          <w:szCs w:val="22"/>
          <w:lang w:val="en-AU"/>
        </w:rPr>
        <w:t xml:space="preserve"> Sensitivity analysis will also be undertaken to assess the effect of chloroquine resistance </w:t>
      </w:r>
      <w:r w:rsidR="00787C61" w:rsidRPr="00787C61">
        <w:rPr>
          <w:rFonts w:asciiTheme="minorHAnsi" w:hAnsiTheme="minorHAnsi"/>
          <w:color w:val="1A1A1A"/>
          <w:sz w:val="22"/>
          <w:szCs w:val="22"/>
        </w:rPr>
        <w:t>using studies undertaken in areas</w:t>
      </w:r>
      <w:r w:rsidR="00787C61" w:rsidRPr="00787C61">
        <w:rPr>
          <w:rFonts w:asciiTheme="minorHAnsi" w:hAnsiTheme="minorHAnsi"/>
          <w:i/>
          <w:iCs/>
          <w:color w:val="1A1A1A"/>
          <w:sz w:val="22"/>
          <w:szCs w:val="22"/>
        </w:rPr>
        <w:t xml:space="preserve"> with and without evidence of chloroquine resistance as defined by the </w:t>
      </w:r>
      <w:r w:rsidR="00787C61" w:rsidRPr="00787C61">
        <w:rPr>
          <w:rFonts w:asciiTheme="minorHAnsi" w:hAnsiTheme="minorHAnsi"/>
          <w:color w:val="1A1A1A"/>
          <w:sz w:val="22"/>
          <w:szCs w:val="22"/>
        </w:rPr>
        <w:t xml:space="preserve"> WWARN Vivax Surveyor </w:t>
      </w:r>
      <w:r w:rsidR="00787C61" w:rsidRPr="00787C61">
        <w:rPr>
          <w:rFonts w:asciiTheme="minorHAnsi" w:hAnsiTheme="minorHAnsi" w:cstheme="minorHAnsi"/>
          <w:noProof/>
          <w:color w:val="000000" w:themeColor="text1"/>
          <w:sz w:val="22"/>
          <w:szCs w:val="22"/>
        </w:rPr>
        <w:fldChar w:fldCharType="begin"/>
      </w:r>
      <w:r w:rsidR="00787C61" w:rsidRPr="00787C61">
        <w:rPr>
          <w:rFonts w:asciiTheme="minorHAnsi" w:hAnsiTheme="minorHAnsi" w:cstheme="minorHAnsi"/>
          <w:noProof/>
          <w:color w:val="000000" w:themeColor="text1"/>
          <w:sz w:val="22"/>
          <w:szCs w:val="22"/>
        </w:rPr>
        <w:instrText xml:space="preserve"> ADDIN EN.CITE &lt;EndNote&gt;&lt;Cite&gt;&lt;Author&gt;WorldWide Antimalarial Resistance Network&lt;/Author&gt;&lt;Year&gt;2016&lt;/Year&gt;&lt;RecNum&gt;47&lt;/RecNum&gt;&lt;DisplayText&gt;(8)&lt;/DisplayText&gt;&lt;record&gt;&lt;rec-number&gt;47&lt;/rec-number&gt;&lt;foreign-keys&gt;&lt;key app="EN" db-id="zrz59pvfoxvewle2ee8xrwt2292evzwdsrse" timestamp="0"&gt;47&lt;/key&gt;&lt;/foreign-keys&gt;&lt;ref-type name="Web Page"&gt;12&lt;/ref-type&gt;&lt;contributors&gt;&lt;authors&gt;&lt;author&gt;WorldWide Antimalarial Resistance Network,&lt;/author&gt;&lt;/authors&gt;&lt;/contributors&gt;&lt;titles&gt;&lt;title&gt;Vivax Surveyor&lt;/title&gt;&lt;/titles&gt;&lt;volume&gt;2016&lt;/volume&gt;&lt;number&gt;31 July 2016&lt;/number&gt;&lt;dates&gt;&lt;year&gt;2016&lt;/year&gt;&lt;/dates&gt;&lt;publisher&gt;WWARN&lt;/publisher&gt;&lt;urls&gt;&lt;related-urls&gt;&lt;url&gt;31 July 2016&lt;/url&gt;&lt;/related-urls&gt;&lt;/urls&gt;&lt;/record&gt;&lt;/Cite&gt;&lt;/EndNote&gt;</w:instrText>
      </w:r>
      <w:r w:rsidR="00787C61" w:rsidRPr="00787C61">
        <w:rPr>
          <w:rFonts w:asciiTheme="minorHAnsi" w:hAnsiTheme="minorHAnsi" w:cstheme="minorHAnsi"/>
          <w:noProof/>
          <w:color w:val="000000" w:themeColor="text1"/>
          <w:sz w:val="22"/>
          <w:szCs w:val="22"/>
        </w:rPr>
        <w:fldChar w:fldCharType="separate"/>
      </w:r>
      <w:r w:rsidR="00787C61" w:rsidRPr="00787C61">
        <w:rPr>
          <w:rFonts w:asciiTheme="minorHAnsi" w:hAnsiTheme="minorHAnsi" w:cstheme="minorHAnsi"/>
          <w:noProof/>
          <w:color w:val="000000" w:themeColor="text1"/>
          <w:sz w:val="22"/>
          <w:szCs w:val="22"/>
        </w:rPr>
        <w:t>(8)</w:t>
      </w:r>
      <w:r w:rsidR="00787C61" w:rsidRPr="00787C61">
        <w:rPr>
          <w:rFonts w:asciiTheme="minorHAnsi" w:hAnsiTheme="minorHAnsi" w:cstheme="minorHAnsi"/>
          <w:noProof/>
          <w:color w:val="000000" w:themeColor="text1"/>
          <w:sz w:val="22"/>
          <w:szCs w:val="22"/>
        </w:rPr>
        <w:fldChar w:fldCharType="end"/>
      </w:r>
      <w:r w:rsidR="00787C61" w:rsidRPr="00787C61">
        <w:rPr>
          <w:rFonts w:asciiTheme="minorHAnsi" w:hAnsiTheme="minorHAnsi" w:cstheme="minorHAnsi"/>
          <w:noProof/>
          <w:color w:val="000000" w:themeColor="text1"/>
          <w:sz w:val="22"/>
          <w:szCs w:val="22"/>
        </w:rPr>
        <w:t>.</w:t>
      </w:r>
    </w:p>
    <w:p w14:paraId="422DFE5B" w14:textId="77777777" w:rsidR="00A4255F" w:rsidRPr="00787C61" w:rsidRDefault="00A4255F">
      <w:pPr>
        <w:rPr>
          <w:rFonts w:asciiTheme="minorHAnsi" w:hAnsiTheme="minorHAnsi"/>
        </w:rPr>
      </w:pPr>
    </w:p>
    <w:p w14:paraId="0AD25DA1" w14:textId="2075153E" w:rsidR="00C91285" w:rsidRDefault="00C91285"/>
    <w:sectPr w:rsidR="00C91285" w:rsidSect="001164E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Light">
    <w:panose1 w:val="020F0302020204030204"/>
    <w:charset w:val="00"/>
    <w:family w:val="swiss"/>
    <w:pitch w:val="variable"/>
    <w:sig w:usb0="A00002EF" w:usb1="4000207B" w:usb2="00000000" w:usb3="00000000" w:csb0="0000019F" w:csb1="00000000"/>
  </w:font>
  <w:font w:name="OpenSan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6A38"/>
    <w:multiLevelType w:val="hybridMultilevel"/>
    <w:tmpl w:val="42E489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D086C"/>
    <w:multiLevelType w:val="hybridMultilevel"/>
    <w:tmpl w:val="E5B85030"/>
    <w:lvl w:ilvl="0" w:tplc="806ACE6E">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41F6F"/>
    <w:multiLevelType w:val="hybridMultilevel"/>
    <w:tmpl w:val="48E83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F65679"/>
    <w:multiLevelType w:val="hybridMultilevel"/>
    <w:tmpl w:val="2DDA7C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B96419"/>
    <w:multiLevelType w:val="hybridMultilevel"/>
    <w:tmpl w:val="2C087522"/>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3E3F7F"/>
    <w:multiLevelType w:val="hybridMultilevel"/>
    <w:tmpl w:val="468A7480"/>
    <w:lvl w:ilvl="0" w:tplc="00000001">
      <w:start w:val="1"/>
      <w:numFmt w:val="bullet"/>
      <w:lvlText w:val="•"/>
      <w:lvlJc w:val="left"/>
      <w:pPr>
        <w:ind w:left="720" w:hanging="360"/>
      </w:pPr>
    </w:lvl>
    <w:lvl w:ilvl="1" w:tplc="FFFFFFFF">
      <w:numFmt w:val="decimal"/>
      <w:lvlText w:val=""/>
      <w:lvlJc w:val="left"/>
    </w:lvl>
    <w:lvl w:ilvl="2" w:tplc="00000001">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ECD1127"/>
    <w:multiLevelType w:val="multilevel"/>
    <w:tmpl w:val="AB28D33C"/>
    <w:lvl w:ilvl="0">
      <w:start w:val="3"/>
      <w:numFmt w:val="decimal"/>
      <w:lvlText w:val="%1"/>
      <w:lvlJc w:val="left"/>
      <w:pPr>
        <w:ind w:left="360" w:hanging="360"/>
      </w:pPr>
      <w:rPr>
        <w:rFonts w:eastAsia="Times New Roman" w:cs="Times New Roman" w:hint="default"/>
        <w:b/>
      </w:rPr>
    </w:lvl>
    <w:lvl w:ilvl="1">
      <w:start w:val="1"/>
      <w:numFmt w:val="decimal"/>
      <w:lvlText w:val="1.3.%2"/>
      <w:lvlJc w:val="left"/>
      <w:pPr>
        <w:ind w:left="360" w:hanging="360"/>
      </w:pPr>
      <w:rPr>
        <w:rFonts w:eastAsia="Times New Roman" w:cs="Times New Roman" w:hint="default"/>
        <w:b/>
      </w:rPr>
    </w:lvl>
    <w:lvl w:ilvl="2">
      <w:start w:val="1"/>
      <w:numFmt w:val="decimal"/>
      <w:lvlText w:val="%1.%2.%3"/>
      <w:lvlJc w:val="left"/>
      <w:pPr>
        <w:ind w:left="720" w:hanging="720"/>
      </w:pPr>
      <w:rPr>
        <w:rFonts w:eastAsia="Times New Roman" w:cs="Times New Roman" w:hint="default"/>
        <w:b/>
      </w:rPr>
    </w:lvl>
    <w:lvl w:ilvl="3">
      <w:start w:val="1"/>
      <w:numFmt w:val="decimal"/>
      <w:lvlText w:val="%1.%2.%3.%4"/>
      <w:lvlJc w:val="left"/>
      <w:pPr>
        <w:ind w:left="720" w:hanging="720"/>
      </w:pPr>
      <w:rPr>
        <w:rFonts w:eastAsia="Times New Roman" w:cs="Times New Roman" w:hint="default"/>
        <w:b/>
      </w:rPr>
    </w:lvl>
    <w:lvl w:ilvl="4">
      <w:start w:val="1"/>
      <w:numFmt w:val="decimal"/>
      <w:lvlText w:val="%1.%2.%3.%4.%5"/>
      <w:lvlJc w:val="left"/>
      <w:pPr>
        <w:ind w:left="1080" w:hanging="1080"/>
      </w:pPr>
      <w:rPr>
        <w:rFonts w:eastAsia="Times New Roman" w:cs="Times New Roman" w:hint="default"/>
        <w:b/>
      </w:rPr>
    </w:lvl>
    <w:lvl w:ilvl="5">
      <w:start w:val="1"/>
      <w:numFmt w:val="decimal"/>
      <w:lvlText w:val="%1.%2.%3.%4.%5.%6"/>
      <w:lvlJc w:val="left"/>
      <w:pPr>
        <w:ind w:left="1080" w:hanging="1080"/>
      </w:pPr>
      <w:rPr>
        <w:rFonts w:eastAsia="Times New Roman" w:cs="Times New Roman" w:hint="default"/>
        <w:b/>
      </w:rPr>
    </w:lvl>
    <w:lvl w:ilvl="6">
      <w:start w:val="1"/>
      <w:numFmt w:val="decimal"/>
      <w:lvlText w:val="%1.%2.%3.%4.%5.%6.%7"/>
      <w:lvlJc w:val="left"/>
      <w:pPr>
        <w:ind w:left="1440" w:hanging="1440"/>
      </w:pPr>
      <w:rPr>
        <w:rFonts w:eastAsia="Times New Roman" w:cs="Times New Roman" w:hint="default"/>
        <w:b/>
      </w:rPr>
    </w:lvl>
    <w:lvl w:ilvl="7">
      <w:start w:val="1"/>
      <w:numFmt w:val="decimal"/>
      <w:lvlText w:val="%1.%2.%3.%4.%5.%6.%7.%8"/>
      <w:lvlJc w:val="left"/>
      <w:pPr>
        <w:ind w:left="1440" w:hanging="1440"/>
      </w:pPr>
      <w:rPr>
        <w:rFonts w:eastAsia="Times New Roman" w:cs="Times New Roman" w:hint="default"/>
        <w:b/>
      </w:rPr>
    </w:lvl>
    <w:lvl w:ilvl="8">
      <w:start w:val="1"/>
      <w:numFmt w:val="decimal"/>
      <w:lvlText w:val="%1.%2.%3.%4.%5.%6.%7.%8.%9"/>
      <w:lvlJc w:val="left"/>
      <w:pPr>
        <w:ind w:left="1440" w:hanging="1440"/>
      </w:pPr>
      <w:rPr>
        <w:rFonts w:eastAsia="Times New Roman" w:cs="Times New Roman" w:hint="default"/>
        <w:b/>
      </w:rPr>
    </w:lvl>
  </w:abstractNum>
  <w:abstractNum w:abstractNumId="7">
    <w:nsid w:val="4B483C5F"/>
    <w:multiLevelType w:val="hybridMultilevel"/>
    <w:tmpl w:val="593E1E5A"/>
    <w:lvl w:ilvl="0" w:tplc="08090001">
      <w:start w:val="1"/>
      <w:numFmt w:val="bullet"/>
      <w:lvlText w:val=""/>
      <w:lvlJc w:val="left"/>
      <w:pPr>
        <w:ind w:left="360" w:hanging="360"/>
      </w:pPr>
      <w:rPr>
        <w:rFonts w:ascii="Symbol" w:hAnsi="Symbol" w:hint="default"/>
      </w:rPr>
    </w:lvl>
    <w:lvl w:ilvl="1" w:tplc="08090019">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8">
    <w:nsid w:val="4F9E1943"/>
    <w:multiLevelType w:val="multilevel"/>
    <w:tmpl w:val="B6FECA2E"/>
    <w:lvl w:ilvl="0">
      <w:start w:val="1"/>
      <w:numFmt w:val="decimal"/>
      <w:lvlText w:val="%1"/>
      <w:lvlJc w:val="left"/>
      <w:pPr>
        <w:ind w:left="460" w:hanging="460"/>
      </w:pPr>
      <w:rPr>
        <w:rFonts w:hint="default"/>
      </w:rPr>
    </w:lvl>
    <w:lvl w:ilvl="1">
      <w:start w:val="3"/>
      <w:numFmt w:val="decimal"/>
      <w:lvlText w:val="%1.%2"/>
      <w:lvlJc w:val="left"/>
      <w:pPr>
        <w:ind w:left="460" w:hanging="4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3814AEE"/>
    <w:multiLevelType w:val="multilevel"/>
    <w:tmpl w:val="BC6AAB72"/>
    <w:lvl w:ilvl="0">
      <w:start w:val="2"/>
      <w:numFmt w:val="decimal"/>
      <w:lvlText w:val="%1"/>
      <w:lvlJc w:val="left"/>
      <w:pPr>
        <w:ind w:left="460" w:hanging="460"/>
      </w:pPr>
      <w:rPr>
        <w:rFonts w:hint="default"/>
      </w:rPr>
    </w:lvl>
    <w:lvl w:ilvl="1">
      <w:start w:val="5"/>
      <w:numFmt w:val="decimal"/>
      <w:lvlText w:val="%1.%2"/>
      <w:lvlJc w:val="left"/>
      <w:pPr>
        <w:ind w:left="460" w:hanging="4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5B829D7"/>
    <w:multiLevelType w:val="hybridMultilevel"/>
    <w:tmpl w:val="998051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C3D581A"/>
    <w:multiLevelType w:val="hybridMultilevel"/>
    <w:tmpl w:val="6EEA6E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C6131AE"/>
    <w:multiLevelType w:val="hybridMultilevel"/>
    <w:tmpl w:val="B0F42044"/>
    <w:lvl w:ilvl="0" w:tplc="181AFAFC">
      <w:start w:val="1"/>
      <w:numFmt w:val="decimal"/>
      <w:lvlText w:val="%1."/>
      <w:lvlJc w:val="left"/>
      <w:pPr>
        <w:ind w:left="644" w:hanging="360"/>
      </w:pPr>
      <w:rPr>
        <w:rFonts w:asciiTheme="majorHAnsi" w:eastAsiaTheme="minorHAnsi" w:hAnsiTheme="majorHAnsi" w:cs="OpenSans" w:hint="default"/>
        <w:b w:val="0"/>
        <w:bCs w:val="0"/>
        <w:i w:val="0"/>
        <w:i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5176A8D"/>
    <w:multiLevelType w:val="hybridMultilevel"/>
    <w:tmpl w:val="CB46D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F51FC3"/>
    <w:multiLevelType w:val="hybridMultilevel"/>
    <w:tmpl w:val="5B986B10"/>
    <w:lvl w:ilvl="0" w:tplc="04090003">
      <w:start w:val="1"/>
      <w:numFmt w:val="bullet"/>
      <w:lvlText w:val="o"/>
      <w:lvlJc w:val="left"/>
      <w:pPr>
        <w:ind w:left="1080" w:hanging="360"/>
      </w:pPr>
      <w:rPr>
        <w:rFonts w:ascii="Courier New" w:hAnsi="Courier New" w:cs="Courier New" w:hint="default"/>
      </w:rPr>
    </w:lvl>
    <w:lvl w:ilvl="1" w:tplc="0409000F">
      <w:start w:val="1"/>
      <w:numFmt w:val="decimal"/>
      <w:lvlText w:val="%2."/>
      <w:lvlJc w:val="left"/>
      <w:pPr>
        <w:ind w:left="36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C4B445F"/>
    <w:multiLevelType w:val="hybridMultilevel"/>
    <w:tmpl w:val="685AA7D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F05FC6"/>
    <w:multiLevelType w:val="hybridMultilevel"/>
    <w:tmpl w:val="6D34F4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7"/>
  </w:num>
  <w:num w:numId="4">
    <w:abstractNumId w:val="13"/>
  </w:num>
  <w:num w:numId="5">
    <w:abstractNumId w:val="15"/>
  </w:num>
  <w:num w:numId="6">
    <w:abstractNumId w:val="8"/>
  </w:num>
  <w:num w:numId="7">
    <w:abstractNumId w:val="0"/>
  </w:num>
  <w:num w:numId="8">
    <w:abstractNumId w:val="4"/>
  </w:num>
  <w:num w:numId="9">
    <w:abstractNumId w:val="12"/>
  </w:num>
  <w:num w:numId="10">
    <w:abstractNumId w:val="1"/>
  </w:num>
  <w:num w:numId="11">
    <w:abstractNumId w:val="16"/>
  </w:num>
  <w:num w:numId="12">
    <w:abstractNumId w:val="9"/>
  </w:num>
  <w:num w:numId="13">
    <w:abstractNumId w:val="14"/>
  </w:num>
  <w:num w:numId="14">
    <w:abstractNumId w:val="11"/>
  </w:num>
  <w:num w:numId="15">
    <w:abstractNumId w:val="10"/>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rz59pvfoxvewle2ee8xrwt2292evzwdsrse&quot;&gt;Malaria&lt;record-ids&gt;&lt;item&gt;15&lt;/item&gt;&lt;item&gt;30&lt;/item&gt;&lt;item&gt;47&lt;/item&gt;&lt;item&gt;56&lt;/item&gt;&lt;item&gt;57&lt;/item&gt;&lt;item&gt;60&lt;/item&gt;&lt;item&gt;61&lt;/item&gt;&lt;item&gt;63&lt;/item&gt;&lt;item&gt;64&lt;/item&gt;&lt;item&gt;65&lt;/item&gt;&lt;item&gt;66&lt;/item&gt;&lt;item&gt;68&lt;/item&gt;&lt;item&gt;69&lt;/item&gt;&lt;item&gt;70&lt;/item&gt;&lt;item&gt;71&lt;/item&gt;&lt;item&gt;72&lt;/item&gt;&lt;item&gt;73&lt;/item&gt;&lt;/record-ids&gt;&lt;/item&gt;&lt;/Libraries&gt;"/>
  </w:docVars>
  <w:rsids>
    <w:rsidRoot w:val="00457F3C"/>
    <w:rsid w:val="000070BB"/>
    <w:rsid w:val="0003058E"/>
    <w:rsid w:val="0006287D"/>
    <w:rsid w:val="00067E3C"/>
    <w:rsid w:val="00071103"/>
    <w:rsid w:val="000A744B"/>
    <w:rsid w:val="000B13B0"/>
    <w:rsid w:val="000E32A1"/>
    <w:rsid w:val="00105EE3"/>
    <w:rsid w:val="00114DB5"/>
    <w:rsid w:val="001164E0"/>
    <w:rsid w:val="00122FA5"/>
    <w:rsid w:val="001773A3"/>
    <w:rsid w:val="00197E77"/>
    <w:rsid w:val="001B63C5"/>
    <w:rsid w:val="001D51F9"/>
    <w:rsid w:val="001D5433"/>
    <w:rsid w:val="0020213A"/>
    <w:rsid w:val="002311A1"/>
    <w:rsid w:val="002330F9"/>
    <w:rsid w:val="002434A3"/>
    <w:rsid w:val="002456CC"/>
    <w:rsid w:val="0024613E"/>
    <w:rsid w:val="00262784"/>
    <w:rsid w:val="00295B50"/>
    <w:rsid w:val="002F4D8D"/>
    <w:rsid w:val="00334BD2"/>
    <w:rsid w:val="00340B9C"/>
    <w:rsid w:val="003445EF"/>
    <w:rsid w:val="00367A78"/>
    <w:rsid w:val="00381816"/>
    <w:rsid w:val="00385715"/>
    <w:rsid w:val="003870AF"/>
    <w:rsid w:val="00397BC1"/>
    <w:rsid w:val="003D7242"/>
    <w:rsid w:val="0041682F"/>
    <w:rsid w:val="004231E3"/>
    <w:rsid w:val="00457F3C"/>
    <w:rsid w:val="00474BE3"/>
    <w:rsid w:val="004911E3"/>
    <w:rsid w:val="004A52BD"/>
    <w:rsid w:val="004C7C89"/>
    <w:rsid w:val="004D0DF0"/>
    <w:rsid w:val="00513225"/>
    <w:rsid w:val="005217B4"/>
    <w:rsid w:val="005250F6"/>
    <w:rsid w:val="00531CDC"/>
    <w:rsid w:val="00555FE7"/>
    <w:rsid w:val="0059015A"/>
    <w:rsid w:val="00594182"/>
    <w:rsid w:val="005953A9"/>
    <w:rsid w:val="005A791B"/>
    <w:rsid w:val="005B368D"/>
    <w:rsid w:val="005B37A7"/>
    <w:rsid w:val="005C783C"/>
    <w:rsid w:val="005E29FA"/>
    <w:rsid w:val="00601CD5"/>
    <w:rsid w:val="00643887"/>
    <w:rsid w:val="0067556C"/>
    <w:rsid w:val="0067609B"/>
    <w:rsid w:val="006B65A7"/>
    <w:rsid w:val="006C750B"/>
    <w:rsid w:val="006C78CF"/>
    <w:rsid w:val="006D0481"/>
    <w:rsid w:val="00754157"/>
    <w:rsid w:val="007546A4"/>
    <w:rsid w:val="00756CFF"/>
    <w:rsid w:val="00761267"/>
    <w:rsid w:val="0078408D"/>
    <w:rsid w:val="007853A0"/>
    <w:rsid w:val="00787C61"/>
    <w:rsid w:val="007C0882"/>
    <w:rsid w:val="007F0EB5"/>
    <w:rsid w:val="008117A0"/>
    <w:rsid w:val="008226B9"/>
    <w:rsid w:val="00824739"/>
    <w:rsid w:val="00832924"/>
    <w:rsid w:val="00837544"/>
    <w:rsid w:val="00844D44"/>
    <w:rsid w:val="008534BB"/>
    <w:rsid w:val="008545C6"/>
    <w:rsid w:val="008571F7"/>
    <w:rsid w:val="0086046D"/>
    <w:rsid w:val="00890427"/>
    <w:rsid w:val="008A0A60"/>
    <w:rsid w:val="008A2C57"/>
    <w:rsid w:val="008A4915"/>
    <w:rsid w:val="008A60FD"/>
    <w:rsid w:val="008B1CD7"/>
    <w:rsid w:val="008B216B"/>
    <w:rsid w:val="008E352A"/>
    <w:rsid w:val="00900475"/>
    <w:rsid w:val="00902F0D"/>
    <w:rsid w:val="00911AB9"/>
    <w:rsid w:val="00914A63"/>
    <w:rsid w:val="00914C1B"/>
    <w:rsid w:val="009216BC"/>
    <w:rsid w:val="00964C93"/>
    <w:rsid w:val="0096603A"/>
    <w:rsid w:val="00977441"/>
    <w:rsid w:val="00981AA6"/>
    <w:rsid w:val="009A652B"/>
    <w:rsid w:val="009B12AA"/>
    <w:rsid w:val="009C6153"/>
    <w:rsid w:val="009D3DEE"/>
    <w:rsid w:val="009E5614"/>
    <w:rsid w:val="00A033E5"/>
    <w:rsid w:val="00A06555"/>
    <w:rsid w:val="00A159E7"/>
    <w:rsid w:val="00A33643"/>
    <w:rsid w:val="00A4255F"/>
    <w:rsid w:val="00A50CA6"/>
    <w:rsid w:val="00A704A8"/>
    <w:rsid w:val="00A74D80"/>
    <w:rsid w:val="00AA69F3"/>
    <w:rsid w:val="00AD2204"/>
    <w:rsid w:val="00AE1D1D"/>
    <w:rsid w:val="00AF3778"/>
    <w:rsid w:val="00AF6C9A"/>
    <w:rsid w:val="00B24819"/>
    <w:rsid w:val="00B46FF3"/>
    <w:rsid w:val="00B70623"/>
    <w:rsid w:val="00B748F6"/>
    <w:rsid w:val="00B83A88"/>
    <w:rsid w:val="00BF11CF"/>
    <w:rsid w:val="00BF4F83"/>
    <w:rsid w:val="00C00154"/>
    <w:rsid w:val="00C152D8"/>
    <w:rsid w:val="00C17DB1"/>
    <w:rsid w:val="00C20D87"/>
    <w:rsid w:val="00C243D4"/>
    <w:rsid w:val="00C25DA9"/>
    <w:rsid w:val="00C43259"/>
    <w:rsid w:val="00C55E85"/>
    <w:rsid w:val="00C60219"/>
    <w:rsid w:val="00C62789"/>
    <w:rsid w:val="00C65F5B"/>
    <w:rsid w:val="00C67A4D"/>
    <w:rsid w:val="00C72302"/>
    <w:rsid w:val="00C91285"/>
    <w:rsid w:val="00CD1E16"/>
    <w:rsid w:val="00D16100"/>
    <w:rsid w:val="00D45BF7"/>
    <w:rsid w:val="00D531E4"/>
    <w:rsid w:val="00D62949"/>
    <w:rsid w:val="00D62E57"/>
    <w:rsid w:val="00D633B7"/>
    <w:rsid w:val="00D85AF3"/>
    <w:rsid w:val="00D93171"/>
    <w:rsid w:val="00D960E5"/>
    <w:rsid w:val="00DA736B"/>
    <w:rsid w:val="00DB754C"/>
    <w:rsid w:val="00E101AE"/>
    <w:rsid w:val="00E13BEE"/>
    <w:rsid w:val="00E4592A"/>
    <w:rsid w:val="00E50E4F"/>
    <w:rsid w:val="00E62068"/>
    <w:rsid w:val="00ED36D5"/>
    <w:rsid w:val="00F159C1"/>
    <w:rsid w:val="00F25944"/>
    <w:rsid w:val="00F47E25"/>
    <w:rsid w:val="00F648D5"/>
    <w:rsid w:val="00F85C49"/>
    <w:rsid w:val="00F92294"/>
    <w:rsid w:val="00FB49A9"/>
    <w:rsid w:val="00FC6BF0"/>
    <w:rsid w:val="00FD126B"/>
    <w:rsid w:val="00FD372E"/>
    <w:rsid w:val="00FE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3C"/>
    <w:pPr>
      <w:spacing w:after="200" w:line="276" w:lineRule="auto"/>
    </w:pPr>
    <w:rPr>
      <w:rFonts w:ascii="Calibri" w:eastAsia="Calibri" w:hAnsi="Calibri" w:cs="Times New Roman"/>
      <w:sz w:val="22"/>
      <w:szCs w:val="22"/>
    </w:rPr>
  </w:style>
  <w:style w:type="paragraph" w:styleId="Heading1">
    <w:name w:val="heading 1"/>
    <w:aliases w:val="Section Title toc"/>
    <w:basedOn w:val="Normal"/>
    <w:next w:val="Normal"/>
    <w:link w:val="Heading1Char"/>
    <w:uiPriority w:val="9"/>
    <w:qFormat/>
    <w:rsid w:val="00457F3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AU"/>
    </w:rPr>
  </w:style>
  <w:style w:type="paragraph" w:styleId="Heading2">
    <w:name w:val="heading 2"/>
    <w:basedOn w:val="Normal"/>
    <w:next w:val="Normal"/>
    <w:link w:val="Heading2Char"/>
    <w:uiPriority w:val="99"/>
    <w:qFormat/>
    <w:rsid w:val="00457F3C"/>
    <w:pPr>
      <w:keepNext/>
      <w:outlineLvl w:val="1"/>
    </w:pPr>
    <w:rPr>
      <w:rFonts w:ascii="Times New Roman" w:eastAsia="Times New Roman" w:hAnsi="Times New Roman"/>
      <w:i/>
      <w:iCs/>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Title toc Char"/>
    <w:basedOn w:val="DefaultParagraphFont"/>
    <w:link w:val="Heading1"/>
    <w:uiPriority w:val="9"/>
    <w:rsid w:val="00457F3C"/>
    <w:rPr>
      <w:rFonts w:asciiTheme="majorHAnsi" w:eastAsiaTheme="majorEastAsia" w:hAnsiTheme="majorHAnsi" w:cstheme="majorBidi"/>
      <w:color w:val="2E74B5" w:themeColor="accent1" w:themeShade="BF"/>
      <w:sz w:val="32"/>
      <w:szCs w:val="32"/>
      <w:lang w:val="en-AU"/>
    </w:rPr>
  </w:style>
  <w:style w:type="character" w:customStyle="1" w:styleId="Heading2Char">
    <w:name w:val="Heading 2 Char"/>
    <w:basedOn w:val="DefaultParagraphFont"/>
    <w:link w:val="Heading2"/>
    <w:uiPriority w:val="99"/>
    <w:rsid w:val="00457F3C"/>
    <w:rPr>
      <w:rFonts w:ascii="Times New Roman" w:eastAsia="Times New Roman" w:hAnsi="Times New Roman" w:cs="Times New Roman"/>
      <w:i/>
      <w:iCs/>
      <w:lang w:val="en-AU" w:eastAsia="en-AU"/>
    </w:rPr>
  </w:style>
  <w:style w:type="character" w:styleId="Hyperlink">
    <w:name w:val="Hyperlink"/>
    <w:uiPriority w:val="99"/>
    <w:unhideWhenUsed/>
    <w:rsid w:val="00457F3C"/>
    <w:rPr>
      <w:color w:val="0000FF"/>
      <w:u w:val="single"/>
    </w:rPr>
  </w:style>
  <w:style w:type="paragraph" w:styleId="ListParagraph">
    <w:name w:val="List Paragraph"/>
    <w:basedOn w:val="Normal"/>
    <w:uiPriority w:val="34"/>
    <w:qFormat/>
    <w:rsid w:val="00457F3C"/>
    <w:pPr>
      <w:ind w:left="720"/>
      <w:contextualSpacing/>
    </w:pPr>
    <w:rPr>
      <w:lang w:val="en-AU"/>
    </w:rPr>
  </w:style>
  <w:style w:type="paragraph" w:customStyle="1" w:styleId="Default">
    <w:name w:val="Default"/>
    <w:rsid w:val="00457F3C"/>
    <w:pPr>
      <w:autoSpaceDE w:val="0"/>
      <w:autoSpaceDN w:val="0"/>
      <w:adjustRightInd w:val="0"/>
    </w:pPr>
    <w:rPr>
      <w:rFonts w:ascii="Arial" w:hAnsi="Arial" w:cs="Arial"/>
      <w:color w:val="000000"/>
      <w:lang w:val="en-GB"/>
    </w:rPr>
  </w:style>
  <w:style w:type="character" w:styleId="Strong">
    <w:name w:val="Strong"/>
    <w:basedOn w:val="DefaultParagraphFont"/>
    <w:uiPriority w:val="22"/>
    <w:qFormat/>
    <w:rsid w:val="00457F3C"/>
    <w:rPr>
      <w:rFonts w:ascii="Calibri" w:hAnsi="Calibri"/>
      <w:color w:val="auto"/>
      <w:sz w:val="22"/>
    </w:rPr>
  </w:style>
  <w:style w:type="paragraph" w:styleId="TOC1">
    <w:name w:val="toc 1"/>
    <w:basedOn w:val="Normal"/>
    <w:next w:val="Normal"/>
    <w:autoRedefine/>
    <w:uiPriority w:val="39"/>
    <w:unhideWhenUsed/>
    <w:rsid w:val="00457F3C"/>
    <w:pPr>
      <w:spacing w:before="120" w:after="0"/>
    </w:pPr>
    <w:rPr>
      <w:rFonts w:asciiTheme="minorHAnsi" w:hAnsiTheme="minorHAnsi"/>
      <w:b/>
      <w:bCs/>
      <w:sz w:val="24"/>
      <w:szCs w:val="24"/>
    </w:rPr>
  </w:style>
  <w:style w:type="paragraph" w:styleId="TOC2">
    <w:name w:val="toc 2"/>
    <w:basedOn w:val="Normal"/>
    <w:next w:val="Normal"/>
    <w:autoRedefine/>
    <w:uiPriority w:val="39"/>
    <w:unhideWhenUsed/>
    <w:rsid w:val="00457F3C"/>
    <w:pPr>
      <w:spacing w:after="0"/>
      <w:ind w:left="220"/>
    </w:pPr>
    <w:rPr>
      <w:rFonts w:asciiTheme="minorHAnsi" w:hAnsiTheme="minorHAnsi"/>
      <w:b/>
      <w:bCs/>
    </w:rPr>
  </w:style>
  <w:style w:type="paragraph" w:customStyle="1" w:styleId="SectionSubtitle">
    <w:name w:val="Section Subtitle"/>
    <w:basedOn w:val="Normal"/>
    <w:uiPriority w:val="99"/>
    <w:rsid w:val="00457F3C"/>
    <w:pPr>
      <w:spacing w:after="0" w:line="240" w:lineRule="auto"/>
    </w:pPr>
    <w:rPr>
      <w:rFonts w:eastAsia="Times New Roman"/>
      <w:b/>
      <w:sz w:val="24"/>
      <w:szCs w:val="24"/>
    </w:rPr>
  </w:style>
  <w:style w:type="paragraph" w:customStyle="1" w:styleId="CoverPageTitle">
    <w:name w:val="Cover Page Title"/>
    <w:basedOn w:val="Normal"/>
    <w:uiPriority w:val="99"/>
    <w:rsid w:val="00457F3C"/>
    <w:pPr>
      <w:spacing w:after="0" w:line="240" w:lineRule="auto"/>
    </w:pPr>
    <w:rPr>
      <w:rFonts w:eastAsia="Times New Roman"/>
      <w:b/>
      <w:color w:val="FFFFFF"/>
      <w:sz w:val="32"/>
      <w:szCs w:val="24"/>
    </w:rPr>
  </w:style>
  <w:style w:type="paragraph" w:customStyle="1" w:styleId="CoverPageWhiteText">
    <w:name w:val="Cover Page White Text"/>
    <w:basedOn w:val="Normal"/>
    <w:uiPriority w:val="99"/>
    <w:rsid w:val="00457F3C"/>
    <w:pPr>
      <w:spacing w:after="0" w:line="240" w:lineRule="auto"/>
    </w:pPr>
    <w:rPr>
      <w:rFonts w:eastAsia="Times New Roman"/>
      <w:b/>
      <w:color w:val="FFFFFF"/>
      <w:sz w:val="28"/>
      <w:szCs w:val="24"/>
    </w:rPr>
  </w:style>
  <w:style w:type="paragraph" w:styleId="BalloonText">
    <w:name w:val="Balloon Text"/>
    <w:basedOn w:val="Normal"/>
    <w:link w:val="BalloonTextChar"/>
    <w:uiPriority w:val="99"/>
    <w:semiHidden/>
    <w:unhideWhenUsed/>
    <w:rsid w:val="00C91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85"/>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C91285"/>
    <w:rPr>
      <w:sz w:val="16"/>
      <w:szCs w:val="16"/>
    </w:rPr>
  </w:style>
  <w:style w:type="paragraph" w:styleId="CommentText">
    <w:name w:val="annotation text"/>
    <w:basedOn w:val="Normal"/>
    <w:link w:val="CommentTextChar"/>
    <w:uiPriority w:val="99"/>
    <w:semiHidden/>
    <w:unhideWhenUsed/>
    <w:rsid w:val="00C91285"/>
    <w:pPr>
      <w:spacing w:line="240" w:lineRule="auto"/>
    </w:pPr>
    <w:rPr>
      <w:sz w:val="20"/>
      <w:szCs w:val="20"/>
    </w:rPr>
  </w:style>
  <w:style w:type="character" w:customStyle="1" w:styleId="CommentTextChar">
    <w:name w:val="Comment Text Char"/>
    <w:basedOn w:val="DefaultParagraphFont"/>
    <w:link w:val="CommentText"/>
    <w:uiPriority w:val="99"/>
    <w:semiHidden/>
    <w:rsid w:val="00C9128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91285"/>
    <w:rPr>
      <w:b/>
      <w:bCs/>
    </w:rPr>
  </w:style>
  <w:style w:type="character" w:customStyle="1" w:styleId="CommentSubjectChar">
    <w:name w:val="Comment Subject Char"/>
    <w:basedOn w:val="CommentTextChar"/>
    <w:link w:val="CommentSubject"/>
    <w:uiPriority w:val="99"/>
    <w:semiHidden/>
    <w:rsid w:val="00C91285"/>
    <w:rPr>
      <w:rFonts w:ascii="Calibri" w:eastAsia="Calibri" w:hAnsi="Calibri" w:cs="Times New Roman"/>
      <w:b/>
      <w:bCs/>
      <w:sz w:val="20"/>
      <w:szCs w:val="20"/>
    </w:rPr>
  </w:style>
  <w:style w:type="paragraph" w:styleId="NoSpacing">
    <w:name w:val="No Spacing"/>
    <w:uiPriority w:val="1"/>
    <w:qFormat/>
    <w:rsid w:val="0006287D"/>
    <w:rPr>
      <w:rFonts w:ascii="Calibri" w:eastAsia="Calibri" w:hAnsi="Calibri" w:cs="Times New Roman"/>
      <w:sz w:val="22"/>
      <w:szCs w:val="22"/>
    </w:rPr>
  </w:style>
  <w:style w:type="paragraph" w:customStyle="1" w:styleId="EndNoteBibliographyTitle">
    <w:name w:val="EndNote Bibliography Title"/>
    <w:basedOn w:val="Normal"/>
    <w:rsid w:val="00A4255F"/>
    <w:pPr>
      <w:spacing w:after="0"/>
      <w:jc w:val="center"/>
    </w:pPr>
  </w:style>
  <w:style w:type="paragraph" w:customStyle="1" w:styleId="EndNoteBibliography">
    <w:name w:val="EndNote Bibliography"/>
    <w:basedOn w:val="Normal"/>
    <w:rsid w:val="00A4255F"/>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3C"/>
    <w:pPr>
      <w:spacing w:after="200" w:line="276" w:lineRule="auto"/>
    </w:pPr>
    <w:rPr>
      <w:rFonts w:ascii="Calibri" w:eastAsia="Calibri" w:hAnsi="Calibri" w:cs="Times New Roman"/>
      <w:sz w:val="22"/>
      <w:szCs w:val="22"/>
    </w:rPr>
  </w:style>
  <w:style w:type="paragraph" w:styleId="Heading1">
    <w:name w:val="heading 1"/>
    <w:aliases w:val="Section Title toc"/>
    <w:basedOn w:val="Normal"/>
    <w:next w:val="Normal"/>
    <w:link w:val="Heading1Char"/>
    <w:uiPriority w:val="9"/>
    <w:qFormat/>
    <w:rsid w:val="00457F3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AU"/>
    </w:rPr>
  </w:style>
  <w:style w:type="paragraph" w:styleId="Heading2">
    <w:name w:val="heading 2"/>
    <w:basedOn w:val="Normal"/>
    <w:next w:val="Normal"/>
    <w:link w:val="Heading2Char"/>
    <w:uiPriority w:val="99"/>
    <w:qFormat/>
    <w:rsid w:val="00457F3C"/>
    <w:pPr>
      <w:keepNext/>
      <w:outlineLvl w:val="1"/>
    </w:pPr>
    <w:rPr>
      <w:rFonts w:ascii="Times New Roman" w:eastAsia="Times New Roman" w:hAnsi="Times New Roman"/>
      <w:i/>
      <w:iCs/>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Title toc Char"/>
    <w:basedOn w:val="DefaultParagraphFont"/>
    <w:link w:val="Heading1"/>
    <w:uiPriority w:val="9"/>
    <w:rsid w:val="00457F3C"/>
    <w:rPr>
      <w:rFonts w:asciiTheme="majorHAnsi" w:eastAsiaTheme="majorEastAsia" w:hAnsiTheme="majorHAnsi" w:cstheme="majorBidi"/>
      <w:color w:val="2E74B5" w:themeColor="accent1" w:themeShade="BF"/>
      <w:sz w:val="32"/>
      <w:szCs w:val="32"/>
      <w:lang w:val="en-AU"/>
    </w:rPr>
  </w:style>
  <w:style w:type="character" w:customStyle="1" w:styleId="Heading2Char">
    <w:name w:val="Heading 2 Char"/>
    <w:basedOn w:val="DefaultParagraphFont"/>
    <w:link w:val="Heading2"/>
    <w:uiPriority w:val="99"/>
    <w:rsid w:val="00457F3C"/>
    <w:rPr>
      <w:rFonts w:ascii="Times New Roman" w:eastAsia="Times New Roman" w:hAnsi="Times New Roman" w:cs="Times New Roman"/>
      <w:i/>
      <w:iCs/>
      <w:lang w:val="en-AU" w:eastAsia="en-AU"/>
    </w:rPr>
  </w:style>
  <w:style w:type="character" w:styleId="Hyperlink">
    <w:name w:val="Hyperlink"/>
    <w:uiPriority w:val="99"/>
    <w:unhideWhenUsed/>
    <w:rsid w:val="00457F3C"/>
    <w:rPr>
      <w:color w:val="0000FF"/>
      <w:u w:val="single"/>
    </w:rPr>
  </w:style>
  <w:style w:type="paragraph" w:styleId="ListParagraph">
    <w:name w:val="List Paragraph"/>
    <w:basedOn w:val="Normal"/>
    <w:uiPriority w:val="34"/>
    <w:qFormat/>
    <w:rsid w:val="00457F3C"/>
    <w:pPr>
      <w:ind w:left="720"/>
      <w:contextualSpacing/>
    </w:pPr>
    <w:rPr>
      <w:lang w:val="en-AU"/>
    </w:rPr>
  </w:style>
  <w:style w:type="paragraph" w:customStyle="1" w:styleId="Default">
    <w:name w:val="Default"/>
    <w:rsid w:val="00457F3C"/>
    <w:pPr>
      <w:autoSpaceDE w:val="0"/>
      <w:autoSpaceDN w:val="0"/>
      <w:adjustRightInd w:val="0"/>
    </w:pPr>
    <w:rPr>
      <w:rFonts w:ascii="Arial" w:hAnsi="Arial" w:cs="Arial"/>
      <w:color w:val="000000"/>
      <w:lang w:val="en-GB"/>
    </w:rPr>
  </w:style>
  <w:style w:type="character" w:styleId="Strong">
    <w:name w:val="Strong"/>
    <w:basedOn w:val="DefaultParagraphFont"/>
    <w:uiPriority w:val="22"/>
    <w:qFormat/>
    <w:rsid w:val="00457F3C"/>
    <w:rPr>
      <w:rFonts w:ascii="Calibri" w:hAnsi="Calibri"/>
      <w:color w:val="auto"/>
      <w:sz w:val="22"/>
    </w:rPr>
  </w:style>
  <w:style w:type="paragraph" w:styleId="TOC1">
    <w:name w:val="toc 1"/>
    <w:basedOn w:val="Normal"/>
    <w:next w:val="Normal"/>
    <w:autoRedefine/>
    <w:uiPriority w:val="39"/>
    <w:unhideWhenUsed/>
    <w:rsid w:val="00457F3C"/>
    <w:pPr>
      <w:spacing w:before="120" w:after="0"/>
    </w:pPr>
    <w:rPr>
      <w:rFonts w:asciiTheme="minorHAnsi" w:hAnsiTheme="minorHAnsi"/>
      <w:b/>
      <w:bCs/>
      <w:sz w:val="24"/>
      <w:szCs w:val="24"/>
    </w:rPr>
  </w:style>
  <w:style w:type="paragraph" w:styleId="TOC2">
    <w:name w:val="toc 2"/>
    <w:basedOn w:val="Normal"/>
    <w:next w:val="Normal"/>
    <w:autoRedefine/>
    <w:uiPriority w:val="39"/>
    <w:unhideWhenUsed/>
    <w:rsid w:val="00457F3C"/>
    <w:pPr>
      <w:spacing w:after="0"/>
      <w:ind w:left="220"/>
    </w:pPr>
    <w:rPr>
      <w:rFonts w:asciiTheme="minorHAnsi" w:hAnsiTheme="minorHAnsi"/>
      <w:b/>
      <w:bCs/>
    </w:rPr>
  </w:style>
  <w:style w:type="paragraph" w:customStyle="1" w:styleId="SectionSubtitle">
    <w:name w:val="Section Subtitle"/>
    <w:basedOn w:val="Normal"/>
    <w:uiPriority w:val="99"/>
    <w:rsid w:val="00457F3C"/>
    <w:pPr>
      <w:spacing w:after="0" w:line="240" w:lineRule="auto"/>
    </w:pPr>
    <w:rPr>
      <w:rFonts w:eastAsia="Times New Roman"/>
      <w:b/>
      <w:sz w:val="24"/>
      <w:szCs w:val="24"/>
    </w:rPr>
  </w:style>
  <w:style w:type="paragraph" w:customStyle="1" w:styleId="CoverPageTitle">
    <w:name w:val="Cover Page Title"/>
    <w:basedOn w:val="Normal"/>
    <w:uiPriority w:val="99"/>
    <w:rsid w:val="00457F3C"/>
    <w:pPr>
      <w:spacing w:after="0" w:line="240" w:lineRule="auto"/>
    </w:pPr>
    <w:rPr>
      <w:rFonts w:eastAsia="Times New Roman"/>
      <w:b/>
      <w:color w:val="FFFFFF"/>
      <w:sz w:val="32"/>
      <w:szCs w:val="24"/>
    </w:rPr>
  </w:style>
  <w:style w:type="paragraph" w:customStyle="1" w:styleId="CoverPageWhiteText">
    <w:name w:val="Cover Page White Text"/>
    <w:basedOn w:val="Normal"/>
    <w:uiPriority w:val="99"/>
    <w:rsid w:val="00457F3C"/>
    <w:pPr>
      <w:spacing w:after="0" w:line="240" w:lineRule="auto"/>
    </w:pPr>
    <w:rPr>
      <w:rFonts w:eastAsia="Times New Roman"/>
      <w:b/>
      <w:color w:val="FFFFFF"/>
      <w:sz w:val="28"/>
      <w:szCs w:val="24"/>
    </w:rPr>
  </w:style>
  <w:style w:type="paragraph" w:styleId="BalloonText">
    <w:name w:val="Balloon Text"/>
    <w:basedOn w:val="Normal"/>
    <w:link w:val="BalloonTextChar"/>
    <w:uiPriority w:val="99"/>
    <w:semiHidden/>
    <w:unhideWhenUsed/>
    <w:rsid w:val="00C91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85"/>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C91285"/>
    <w:rPr>
      <w:sz w:val="16"/>
      <w:szCs w:val="16"/>
    </w:rPr>
  </w:style>
  <w:style w:type="paragraph" w:styleId="CommentText">
    <w:name w:val="annotation text"/>
    <w:basedOn w:val="Normal"/>
    <w:link w:val="CommentTextChar"/>
    <w:uiPriority w:val="99"/>
    <w:semiHidden/>
    <w:unhideWhenUsed/>
    <w:rsid w:val="00C91285"/>
    <w:pPr>
      <w:spacing w:line="240" w:lineRule="auto"/>
    </w:pPr>
    <w:rPr>
      <w:sz w:val="20"/>
      <w:szCs w:val="20"/>
    </w:rPr>
  </w:style>
  <w:style w:type="character" w:customStyle="1" w:styleId="CommentTextChar">
    <w:name w:val="Comment Text Char"/>
    <w:basedOn w:val="DefaultParagraphFont"/>
    <w:link w:val="CommentText"/>
    <w:uiPriority w:val="99"/>
    <w:semiHidden/>
    <w:rsid w:val="00C9128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91285"/>
    <w:rPr>
      <w:b/>
      <w:bCs/>
    </w:rPr>
  </w:style>
  <w:style w:type="character" w:customStyle="1" w:styleId="CommentSubjectChar">
    <w:name w:val="Comment Subject Char"/>
    <w:basedOn w:val="CommentTextChar"/>
    <w:link w:val="CommentSubject"/>
    <w:uiPriority w:val="99"/>
    <w:semiHidden/>
    <w:rsid w:val="00C91285"/>
    <w:rPr>
      <w:rFonts w:ascii="Calibri" w:eastAsia="Calibri" w:hAnsi="Calibri" w:cs="Times New Roman"/>
      <w:b/>
      <w:bCs/>
      <w:sz w:val="20"/>
      <w:szCs w:val="20"/>
    </w:rPr>
  </w:style>
  <w:style w:type="paragraph" w:styleId="NoSpacing">
    <w:name w:val="No Spacing"/>
    <w:uiPriority w:val="1"/>
    <w:qFormat/>
    <w:rsid w:val="0006287D"/>
    <w:rPr>
      <w:rFonts w:ascii="Calibri" w:eastAsia="Calibri" w:hAnsi="Calibri" w:cs="Times New Roman"/>
      <w:sz w:val="22"/>
      <w:szCs w:val="22"/>
    </w:rPr>
  </w:style>
  <w:style w:type="paragraph" w:customStyle="1" w:styleId="EndNoteBibliographyTitle">
    <w:name w:val="EndNote Bibliography Title"/>
    <w:basedOn w:val="Normal"/>
    <w:rsid w:val="00A4255F"/>
    <w:pPr>
      <w:spacing w:after="0"/>
      <w:jc w:val="center"/>
    </w:pPr>
  </w:style>
  <w:style w:type="paragraph" w:customStyle="1" w:styleId="EndNoteBibliography">
    <w:name w:val="EndNote Bibliography"/>
    <w:basedOn w:val="Normal"/>
    <w:rsid w:val="00A4255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arn.org/sites/default/files/attachments/documents/wwarn_publication_policy.pdf" TargetMode="External"/><Relationship Id="rId3" Type="http://schemas.microsoft.com/office/2007/relationships/stylesWithEffects" Target="stylesWithEffects.xml"/><Relationship Id="rId7" Type="http://schemas.openxmlformats.org/officeDocument/2006/relationships/hyperlink" Target="http://www.wwarn.org/working-together/sharing-data/data-us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warn.org/sites/default/files/ClinicalDMSAP.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7001</Words>
  <Characters>39906</Characters>
  <Application>Microsoft Office Word</Application>
  <DocSecurity>4</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46814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Commons</dc:creator>
  <cp:lastModifiedBy>bmcmanigal</cp:lastModifiedBy>
  <cp:revision>2</cp:revision>
  <dcterms:created xsi:type="dcterms:W3CDTF">2018-03-06T12:14:00Z</dcterms:created>
  <dcterms:modified xsi:type="dcterms:W3CDTF">2018-03-06T12:14:00Z</dcterms:modified>
</cp:coreProperties>
</file>