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22D8" w14:textId="77777777" w:rsidR="00157EE5" w:rsidRPr="00D55179" w:rsidRDefault="00157EE5" w:rsidP="00157EE5">
      <w:pPr>
        <w:spacing w:after="0" w:line="240" w:lineRule="auto"/>
        <w:rPr>
          <w:rFonts w:ascii="Arial" w:hAnsi="Arial" w:cs="Arial"/>
          <w:b/>
          <w:color w:val="0070C0"/>
          <w:sz w:val="32"/>
          <w:szCs w:val="32"/>
        </w:rPr>
      </w:pPr>
      <w:r w:rsidRPr="00D55179">
        <w:rPr>
          <w:rFonts w:ascii="Arial" w:hAnsi="Arial" w:cs="Arial"/>
          <w:b/>
          <w:color w:val="0070C0"/>
          <w:sz w:val="32"/>
          <w:szCs w:val="32"/>
        </w:rPr>
        <w:t xml:space="preserve">Statistical Analysis Plan </w:t>
      </w:r>
    </w:p>
    <w:p w14:paraId="4C61AACF" w14:textId="77777777" w:rsidR="00157EE5" w:rsidRDefault="00157EE5" w:rsidP="00157EE5">
      <w:pPr>
        <w:spacing w:after="0" w:line="240" w:lineRule="auto"/>
        <w:rPr>
          <w:rFonts w:ascii="Arial" w:hAnsi="Arial" w:cs="Arial"/>
          <w:b/>
          <w:sz w:val="32"/>
          <w:szCs w:val="32"/>
        </w:rPr>
      </w:pPr>
    </w:p>
    <w:p w14:paraId="59E2A815" w14:textId="77777777" w:rsidR="00157EE5" w:rsidRDefault="00157EE5" w:rsidP="00157EE5">
      <w:pPr>
        <w:spacing w:line="240" w:lineRule="auto"/>
        <w:rPr>
          <w:rFonts w:ascii="Arial" w:hAnsi="Arial" w:cs="Arial"/>
          <w:b/>
          <w:color w:val="0070C0"/>
          <w:sz w:val="32"/>
          <w:szCs w:val="32"/>
        </w:rPr>
      </w:pPr>
    </w:p>
    <w:p w14:paraId="7BDE9040" w14:textId="676D809E" w:rsidR="00D1063D" w:rsidRPr="008233CC" w:rsidRDefault="008E74C9" w:rsidP="00157EE5">
      <w:pPr>
        <w:spacing w:line="240" w:lineRule="auto"/>
        <w:rPr>
          <w:rFonts w:ascii="Arial" w:hAnsi="Arial" w:cs="Arial"/>
          <w:b/>
          <w:color w:val="0070C0"/>
          <w:sz w:val="28"/>
          <w:szCs w:val="28"/>
        </w:rPr>
      </w:pPr>
      <w:r w:rsidRPr="008233CC">
        <w:rPr>
          <w:rFonts w:ascii="Arial" w:hAnsi="Arial" w:cs="Arial"/>
          <w:b/>
          <w:color w:val="0070C0"/>
          <w:sz w:val="28"/>
          <w:szCs w:val="28"/>
        </w:rPr>
        <w:t xml:space="preserve">Investigation of </w:t>
      </w:r>
      <w:r w:rsidR="00E712D2" w:rsidRPr="008233CC">
        <w:rPr>
          <w:rFonts w:ascii="Arial" w:hAnsi="Arial" w:cs="Arial"/>
          <w:b/>
          <w:i/>
          <w:iCs/>
          <w:color w:val="0070C0"/>
          <w:sz w:val="28"/>
          <w:szCs w:val="28"/>
        </w:rPr>
        <w:t>Plasmodium vivax</w:t>
      </w:r>
      <w:r w:rsidR="00E712D2" w:rsidRPr="008233CC">
        <w:rPr>
          <w:rFonts w:ascii="Arial" w:hAnsi="Arial" w:cs="Arial"/>
          <w:b/>
          <w:color w:val="0070C0"/>
          <w:sz w:val="28"/>
          <w:szCs w:val="28"/>
        </w:rPr>
        <w:t xml:space="preserve"> </w:t>
      </w:r>
      <w:r w:rsidR="00036EB7">
        <w:rPr>
          <w:rFonts w:ascii="Arial" w:hAnsi="Arial" w:cs="Arial"/>
          <w:b/>
          <w:color w:val="0070C0"/>
          <w:sz w:val="28"/>
          <w:szCs w:val="28"/>
        </w:rPr>
        <w:t>P</w:t>
      </w:r>
      <w:r w:rsidR="00E712D2" w:rsidRPr="008233CC">
        <w:rPr>
          <w:rFonts w:ascii="Arial" w:hAnsi="Arial" w:cs="Arial"/>
          <w:b/>
          <w:color w:val="0070C0"/>
          <w:sz w:val="28"/>
          <w:szCs w:val="28"/>
        </w:rPr>
        <w:t>arasitaemia</w:t>
      </w:r>
      <w:r w:rsidRPr="008233CC">
        <w:rPr>
          <w:rFonts w:ascii="Arial" w:hAnsi="Arial" w:cs="Arial"/>
          <w:b/>
          <w:color w:val="0070C0"/>
          <w:sz w:val="28"/>
          <w:szCs w:val="28"/>
        </w:rPr>
        <w:t xml:space="preserve"> and </w:t>
      </w:r>
      <w:r w:rsidR="00036EB7">
        <w:rPr>
          <w:rFonts w:ascii="Arial" w:hAnsi="Arial" w:cs="Arial"/>
          <w:b/>
          <w:color w:val="0070C0"/>
          <w:sz w:val="28"/>
          <w:szCs w:val="28"/>
        </w:rPr>
        <w:t>F</w:t>
      </w:r>
      <w:r w:rsidR="00917F92" w:rsidRPr="008233CC">
        <w:rPr>
          <w:rFonts w:ascii="Arial" w:hAnsi="Arial" w:cs="Arial"/>
          <w:b/>
          <w:color w:val="0070C0"/>
          <w:sz w:val="28"/>
          <w:szCs w:val="28"/>
        </w:rPr>
        <w:t>ever</w:t>
      </w:r>
      <w:r w:rsidRPr="008233CC">
        <w:rPr>
          <w:rFonts w:ascii="Arial" w:hAnsi="Arial" w:cs="Arial"/>
          <w:b/>
          <w:color w:val="0070C0"/>
          <w:sz w:val="28"/>
          <w:szCs w:val="28"/>
        </w:rPr>
        <w:t xml:space="preserve"> </w:t>
      </w:r>
    </w:p>
    <w:p w14:paraId="10630AEC" w14:textId="162B751F" w:rsidR="00007829" w:rsidRPr="00007829" w:rsidRDefault="00007829" w:rsidP="00007829">
      <w:pPr>
        <w:spacing w:line="240" w:lineRule="auto"/>
        <w:rPr>
          <w:rFonts w:ascii="Arial" w:hAnsi="Arial" w:cs="Arial"/>
          <w:color w:val="0070C0"/>
          <w:sz w:val="24"/>
          <w:szCs w:val="32"/>
        </w:rPr>
      </w:pPr>
      <w:r w:rsidRPr="00007829">
        <w:rPr>
          <w:rFonts w:ascii="Arial" w:hAnsi="Arial" w:cs="Arial"/>
          <w:color w:val="0070C0"/>
          <w:sz w:val="24"/>
          <w:szCs w:val="32"/>
        </w:rPr>
        <w:t xml:space="preserve">The </w:t>
      </w:r>
      <w:r w:rsidRPr="00007829">
        <w:rPr>
          <w:rFonts w:ascii="Arial" w:hAnsi="Arial" w:cs="Arial"/>
          <w:i/>
          <w:iCs/>
          <w:color w:val="0070C0"/>
          <w:sz w:val="24"/>
          <w:szCs w:val="32"/>
        </w:rPr>
        <w:t>P. vivax</w:t>
      </w:r>
      <w:r w:rsidRPr="00007829">
        <w:rPr>
          <w:rFonts w:ascii="Arial" w:hAnsi="Arial" w:cs="Arial"/>
          <w:color w:val="0070C0"/>
          <w:sz w:val="24"/>
          <w:szCs w:val="32"/>
        </w:rPr>
        <w:t xml:space="preserve"> Fever Study Group</w:t>
      </w:r>
    </w:p>
    <w:p w14:paraId="0EADA3DC" w14:textId="77777777" w:rsidR="00157EE5" w:rsidRPr="00D55179" w:rsidRDefault="00157EE5" w:rsidP="00157EE5">
      <w:pPr>
        <w:spacing w:after="0" w:line="240" w:lineRule="auto"/>
        <w:rPr>
          <w:rFonts w:ascii="Arial" w:hAnsi="Arial" w:cs="Arial"/>
          <w:color w:val="0070C0"/>
          <w:sz w:val="32"/>
          <w:szCs w:val="32"/>
        </w:rPr>
      </w:pPr>
    </w:p>
    <w:p w14:paraId="3673E28C" w14:textId="77777777" w:rsidR="00157EE5" w:rsidRDefault="00157EE5" w:rsidP="00157EE5">
      <w:pPr>
        <w:spacing w:after="0" w:line="240" w:lineRule="auto"/>
        <w:rPr>
          <w:rFonts w:ascii="Arial" w:hAnsi="Arial" w:cs="Arial"/>
          <w:b/>
          <w:color w:val="0070C0"/>
          <w:sz w:val="32"/>
          <w:szCs w:val="32"/>
        </w:rPr>
      </w:pPr>
    </w:p>
    <w:p w14:paraId="16C6F479" w14:textId="3515A202" w:rsidR="00157EE5" w:rsidRPr="00D55179" w:rsidRDefault="00157EE5" w:rsidP="00157EE5">
      <w:pPr>
        <w:spacing w:after="0" w:line="240" w:lineRule="auto"/>
        <w:rPr>
          <w:rFonts w:ascii="Arial" w:hAnsi="Arial" w:cs="Arial"/>
          <w:b/>
          <w:color w:val="0070C0"/>
          <w:sz w:val="32"/>
          <w:szCs w:val="32"/>
        </w:rPr>
      </w:pPr>
      <w:r w:rsidRPr="00D55179">
        <w:rPr>
          <w:rFonts w:ascii="Arial" w:hAnsi="Arial" w:cs="Arial"/>
          <w:b/>
          <w:color w:val="0070C0"/>
          <w:sz w:val="32"/>
          <w:szCs w:val="32"/>
        </w:rPr>
        <w:t xml:space="preserve">Version </w:t>
      </w:r>
      <w:r w:rsidR="002C520B">
        <w:rPr>
          <w:rFonts w:ascii="Arial" w:hAnsi="Arial" w:cs="Arial"/>
          <w:b/>
          <w:color w:val="0070C0"/>
          <w:sz w:val="32"/>
          <w:szCs w:val="32"/>
        </w:rPr>
        <w:t>1.</w:t>
      </w:r>
      <w:r w:rsidR="005F704E">
        <w:rPr>
          <w:rFonts w:ascii="Arial" w:hAnsi="Arial" w:cs="Arial"/>
          <w:b/>
          <w:color w:val="0070C0"/>
          <w:sz w:val="32"/>
          <w:szCs w:val="32"/>
        </w:rPr>
        <w:t>1</w:t>
      </w:r>
    </w:p>
    <w:p w14:paraId="699D70BD" w14:textId="77777777" w:rsidR="00157EE5" w:rsidRDefault="00157EE5" w:rsidP="00157EE5">
      <w:pPr>
        <w:spacing w:after="0" w:line="240" w:lineRule="auto"/>
        <w:rPr>
          <w:rFonts w:ascii="Arial" w:hAnsi="Arial" w:cs="Arial"/>
        </w:rPr>
      </w:pPr>
    </w:p>
    <w:p w14:paraId="57FAF7FF" w14:textId="77777777" w:rsidR="00157EE5" w:rsidRDefault="00157EE5" w:rsidP="00157EE5">
      <w:pPr>
        <w:spacing w:after="0" w:line="240" w:lineRule="auto"/>
        <w:rPr>
          <w:rFonts w:ascii="Arial" w:hAnsi="Arial" w:cs="Arial"/>
        </w:rPr>
      </w:pPr>
    </w:p>
    <w:p w14:paraId="5208DCB5" w14:textId="77777777" w:rsidR="00157EE5" w:rsidRDefault="00157EE5" w:rsidP="00157EE5">
      <w:pPr>
        <w:spacing w:after="0" w:line="240" w:lineRule="auto"/>
        <w:rPr>
          <w:rFonts w:ascii="Arial" w:hAnsi="Arial" w:cs="Arial"/>
        </w:rPr>
      </w:pPr>
    </w:p>
    <w:p w14:paraId="3907FB3F" w14:textId="2CAE6095" w:rsidR="00157EE5" w:rsidRDefault="00157EE5" w:rsidP="00157EE5">
      <w:pPr>
        <w:spacing w:after="0" w:line="240" w:lineRule="auto"/>
        <w:rPr>
          <w:rFonts w:ascii="Arial" w:hAnsi="Arial" w:cs="Arial"/>
        </w:rPr>
      </w:pPr>
      <w:r w:rsidRPr="00EA13A3">
        <w:rPr>
          <w:rFonts w:ascii="Arial" w:hAnsi="Arial" w:cs="Arial"/>
          <w:b/>
        </w:rPr>
        <w:t>Suggested citation:</w:t>
      </w:r>
      <w:r w:rsidRPr="00B964EC">
        <w:rPr>
          <w:rFonts w:ascii="Arial" w:hAnsi="Arial" w:cs="Arial"/>
        </w:rPr>
        <w:t xml:space="preserve"> Statistical Analysis Plan, The </w:t>
      </w:r>
      <w:r>
        <w:rPr>
          <w:rFonts w:ascii="Arial" w:hAnsi="Arial" w:cs="Arial"/>
          <w:i/>
          <w:iCs/>
        </w:rPr>
        <w:t>P</w:t>
      </w:r>
      <w:r w:rsidR="00036EB7">
        <w:rPr>
          <w:rFonts w:ascii="Arial" w:hAnsi="Arial" w:cs="Arial"/>
          <w:i/>
          <w:iCs/>
        </w:rPr>
        <w:t>.</w:t>
      </w:r>
      <w:r>
        <w:rPr>
          <w:rFonts w:ascii="Arial" w:hAnsi="Arial" w:cs="Arial"/>
          <w:i/>
          <w:iCs/>
        </w:rPr>
        <w:t xml:space="preserve"> vivax </w:t>
      </w:r>
      <w:r w:rsidR="00036EB7">
        <w:rPr>
          <w:rFonts w:ascii="Arial" w:hAnsi="Arial" w:cs="Arial"/>
        </w:rPr>
        <w:t>Fever</w:t>
      </w:r>
      <w:r w:rsidRPr="00B964EC">
        <w:rPr>
          <w:rFonts w:ascii="Arial" w:hAnsi="Arial" w:cs="Arial"/>
        </w:rPr>
        <w:t xml:space="preserve"> Study Group: Investigation of </w:t>
      </w:r>
      <w:r w:rsidRPr="00B964EC">
        <w:rPr>
          <w:rFonts w:ascii="Arial" w:hAnsi="Arial" w:cs="Arial"/>
          <w:i/>
        </w:rPr>
        <w:t>Plasmodium vivax</w:t>
      </w:r>
      <w:r w:rsidRPr="00B964EC">
        <w:rPr>
          <w:rFonts w:ascii="Arial" w:hAnsi="Arial" w:cs="Arial"/>
        </w:rPr>
        <w:t xml:space="preserve"> </w:t>
      </w:r>
      <w:r w:rsidR="00A95D33">
        <w:rPr>
          <w:rFonts w:ascii="Arial" w:hAnsi="Arial" w:cs="Arial"/>
        </w:rPr>
        <w:t>Parasitaemia and Fever.</w:t>
      </w:r>
    </w:p>
    <w:p w14:paraId="6A95322D" w14:textId="1963B780" w:rsidR="00A21D08" w:rsidRPr="00A21D08" w:rsidRDefault="00A21D08" w:rsidP="00157EE5">
      <w:pPr>
        <w:spacing w:after="0" w:line="240" w:lineRule="auto"/>
        <w:rPr>
          <w:rFonts w:ascii="Arial" w:hAnsi="Arial" w:cs="Arial"/>
        </w:rPr>
      </w:pPr>
    </w:p>
    <w:p w14:paraId="336E939F" w14:textId="77777777" w:rsidR="00157EE5" w:rsidRDefault="00157EE5" w:rsidP="00157EE5">
      <w:pPr>
        <w:spacing w:after="0" w:line="240" w:lineRule="auto"/>
        <w:rPr>
          <w:rFonts w:ascii="Arial" w:hAnsi="Arial" w:cs="Arial"/>
        </w:rPr>
      </w:pPr>
    </w:p>
    <w:p w14:paraId="3422022C" w14:textId="77777777" w:rsidR="00157EE5" w:rsidRDefault="00157EE5" w:rsidP="00157EE5">
      <w:pPr>
        <w:spacing w:after="0" w:line="240" w:lineRule="auto"/>
        <w:rPr>
          <w:rFonts w:ascii="Arial" w:hAnsi="Arial" w:cs="Arial"/>
        </w:rPr>
      </w:pPr>
    </w:p>
    <w:p w14:paraId="17BA2070" w14:textId="77777777" w:rsidR="00157EE5" w:rsidRDefault="00157EE5" w:rsidP="00157EE5">
      <w:pPr>
        <w:spacing w:after="0" w:line="240" w:lineRule="auto"/>
        <w:rPr>
          <w:rFonts w:ascii="Arial" w:hAnsi="Arial" w:cs="Arial"/>
          <w:b/>
        </w:rPr>
      </w:pPr>
      <w:r w:rsidRPr="00EA13A3">
        <w:rPr>
          <w:rFonts w:ascii="Arial" w:hAnsi="Arial" w:cs="Arial"/>
          <w:b/>
        </w:rPr>
        <w:t>Version History</w:t>
      </w:r>
    </w:p>
    <w:p w14:paraId="5A7B22FB" w14:textId="77777777" w:rsidR="00157EE5" w:rsidRPr="00EA13A3" w:rsidRDefault="00157EE5" w:rsidP="00157EE5">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157EE5" w14:paraId="6C97C190" w14:textId="77777777" w:rsidTr="00E43FDF">
        <w:tc>
          <w:tcPr>
            <w:tcW w:w="3005" w:type="dxa"/>
          </w:tcPr>
          <w:p w14:paraId="40F9DD29" w14:textId="77777777" w:rsidR="00157EE5" w:rsidRDefault="00157EE5" w:rsidP="00E43FDF">
            <w:pPr>
              <w:rPr>
                <w:rFonts w:ascii="Arial" w:hAnsi="Arial" w:cs="Arial"/>
              </w:rPr>
            </w:pPr>
            <w:r>
              <w:rPr>
                <w:rFonts w:ascii="Arial" w:hAnsi="Arial" w:cs="Arial"/>
              </w:rPr>
              <w:t>Version number</w:t>
            </w:r>
          </w:p>
        </w:tc>
        <w:tc>
          <w:tcPr>
            <w:tcW w:w="3005" w:type="dxa"/>
          </w:tcPr>
          <w:p w14:paraId="4CA64FE6" w14:textId="77777777" w:rsidR="00157EE5" w:rsidRDefault="00157EE5" w:rsidP="00E43FDF">
            <w:pPr>
              <w:rPr>
                <w:rFonts w:ascii="Arial" w:hAnsi="Arial" w:cs="Arial"/>
              </w:rPr>
            </w:pPr>
            <w:r>
              <w:rPr>
                <w:rFonts w:ascii="Arial" w:hAnsi="Arial" w:cs="Arial"/>
              </w:rPr>
              <w:t>Revision(s) and reason(s) for amendment</w:t>
            </w:r>
          </w:p>
        </w:tc>
        <w:tc>
          <w:tcPr>
            <w:tcW w:w="3006" w:type="dxa"/>
          </w:tcPr>
          <w:p w14:paraId="23541AE0" w14:textId="77777777" w:rsidR="00157EE5" w:rsidRDefault="00157EE5" w:rsidP="00E43FDF">
            <w:pPr>
              <w:rPr>
                <w:rFonts w:ascii="Arial" w:hAnsi="Arial" w:cs="Arial"/>
              </w:rPr>
            </w:pPr>
            <w:r>
              <w:rPr>
                <w:rFonts w:ascii="Arial" w:hAnsi="Arial" w:cs="Arial"/>
              </w:rPr>
              <w:t>Release date</w:t>
            </w:r>
          </w:p>
        </w:tc>
      </w:tr>
      <w:tr w:rsidR="00157EE5" w14:paraId="2D210455" w14:textId="77777777" w:rsidTr="00E43FDF">
        <w:tc>
          <w:tcPr>
            <w:tcW w:w="3005" w:type="dxa"/>
          </w:tcPr>
          <w:p w14:paraId="14E9A860" w14:textId="3C8F0FB9" w:rsidR="00157EE5" w:rsidRDefault="002C520B" w:rsidP="00E43FDF">
            <w:pPr>
              <w:rPr>
                <w:rFonts w:ascii="Arial" w:hAnsi="Arial" w:cs="Arial"/>
              </w:rPr>
            </w:pPr>
            <w:r>
              <w:rPr>
                <w:rFonts w:ascii="Arial" w:hAnsi="Arial" w:cs="Arial"/>
              </w:rPr>
              <w:t>v1.0</w:t>
            </w:r>
          </w:p>
        </w:tc>
        <w:tc>
          <w:tcPr>
            <w:tcW w:w="3005" w:type="dxa"/>
          </w:tcPr>
          <w:p w14:paraId="62ED367A" w14:textId="77777777" w:rsidR="00157EE5" w:rsidRDefault="00157EE5" w:rsidP="00E43FDF">
            <w:pPr>
              <w:rPr>
                <w:rFonts w:ascii="Arial" w:hAnsi="Arial" w:cs="Arial"/>
              </w:rPr>
            </w:pPr>
          </w:p>
        </w:tc>
        <w:tc>
          <w:tcPr>
            <w:tcW w:w="3006" w:type="dxa"/>
          </w:tcPr>
          <w:p w14:paraId="414FCAB9" w14:textId="0AB52C76" w:rsidR="00157EE5" w:rsidRDefault="00137087" w:rsidP="00E43FDF">
            <w:pPr>
              <w:rPr>
                <w:rFonts w:ascii="Arial" w:hAnsi="Arial" w:cs="Arial"/>
              </w:rPr>
            </w:pPr>
            <w:r>
              <w:rPr>
                <w:rFonts w:ascii="Arial" w:hAnsi="Arial" w:cs="Arial"/>
              </w:rPr>
              <w:t>18/11/2021</w:t>
            </w:r>
          </w:p>
        </w:tc>
      </w:tr>
      <w:tr w:rsidR="005D31A9" w14:paraId="3D995371" w14:textId="77777777" w:rsidTr="00E43FDF">
        <w:tc>
          <w:tcPr>
            <w:tcW w:w="3005" w:type="dxa"/>
          </w:tcPr>
          <w:p w14:paraId="1459AC7E" w14:textId="1502A9D9" w:rsidR="005D31A9" w:rsidRDefault="005D31A9" w:rsidP="00E43FDF">
            <w:pPr>
              <w:rPr>
                <w:rFonts w:ascii="Arial" w:hAnsi="Arial" w:cs="Arial"/>
              </w:rPr>
            </w:pPr>
            <w:r>
              <w:rPr>
                <w:rFonts w:ascii="Arial" w:hAnsi="Arial" w:cs="Arial"/>
              </w:rPr>
              <w:t>v1.1</w:t>
            </w:r>
          </w:p>
        </w:tc>
        <w:tc>
          <w:tcPr>
            <w:tcW w:w="3005" w:type="dxa"/>
          </w:tcPr>
          <w:p w14:paraId="1B8B82B2" w14:textId="5E7B5E23" w:rsidR="005D31A9" w:rsidRDefault="00B244CA" w:rsidP="00B244CA">
            <w:pPr>
              <w:pStyle w:val="ListParagraph"/>
              <w:numPr>
                <w:ilvl w:val="0"/>
                <w:numId w:val="43"/>
              </w:numPr>
              <w:rPr>
                <w:rFonts w:ascii="Arial" w:hAnsi="Arial" w:cs="Arial"/>
              </w:rPr>
            </w:pPr>
            <w:r>
              <w:rPr>
                <w:rFonts w:ascii="Arial" w:hAnsi="Arial" w:cs="Arial"/>
              </w:rPr>
              <w:t>Age group</w:t>
            </w:r>
            <w:r w:rsidR="00D4539F">
              <w:rPr>
                <w:rFonts w:ascii="Arial" w:hAnsi="Arial" w:cs="Arial"/>
              </w:rPr>
              <w:t>s changed from 4 to 3 groups</w:t>
            </w:r>
            <w:r w:rsidR="009B24BB">
              <w:rPr>
                <w:rFonts w:ascii="Arial" w:hAnsi="Arial" w:cs="Arial"/>
              </w:rPr>
              <w:t xml:space="preserve"> (</w:t>
            </w:r>
            <w:r w:rsidR="000501DA">
              <w:rPr>
                <w:rFonts w:ascii="Arial" w:hAnsi="Arial" w:cs="Arial"/>
              </w:rPr>
              <w:t xml:space="preserve">there were </w:t>
            </w:r>
            <w:r w:rsidR="00D4539F">
              <w:rPr>
                <w:rFonts w:ascii="Arial" w:hAnsi="Arial" w:cs="Arial"/>
              </w:rPr>
              <w:t>too few patients in one group</w:t>
            </w:r>
            <w:r w:rsidR="009B24BB">
              <w:rPr>
                <w:rFonts w:ascii="Arial" w:hAnsi="Arial" w:cs="Arial"/>
              </w:rPr>
              <w:t>)</w:t>
            </w:r>
          </w:p>
          <w:p w14:paraId="070D7758" w14:textId="42E4FBD3" w:rsidR="006558A4" w:rsidRDefault="006558A4" w:rsidP="00B244CA">
            <w:pPr>
              <w:pStyle w:val="ListParagraph"/>
              <w:numPr>
                <w:ilvl w:val="0"/>
                <w:numId w:val="43"/>
              </w:numPr>
              <w:rPr>
                <w:rFonts w:ascii="Arial" w:hAnsi="Arial" w:cs="Arial"/>
              </w:rPr>
            </w:pPr>
            <w:r>
              <w:rPr>
                <w:rFonts w:ascii="Arial" w:hAnsi="Arial" w:cs="Arial"/>
              </w:rPr>
              <w:t>Outcomes analysed by relapse periodicity rather than transmission intensity (</w:t>
            </w:r>
            <w:r w:rsidR="000501DA">
              <w:rPr>
                <w:rFonts w:ascii="Arial" w:hAnsi="Arial" w:cs="Arial"/>
              </w:rPr>
              <w:t xml:space="preserve">a </w:t>
            </w:r>
            <w:r w:rsidR="00825200">
              <w:rPr>
                <w:rFonts w:ascii="Arial" w:hAnsi="Arial" w:cs="Arial"/>
              </w:rPr>
              <w:t>more accurate reflection of endemicity</w:t>
            </w:r>
            <w:r w:rsidR="00291FEB">
              <w:rPr>
                <w:rFonts w:ascii="Arial" w:hAnsi="Arial" w:cs="Arial"/>
              </w:rPr>
              <w:t xml:space="preserve"> for vivax malaria</w:t>
            </w:r>
            <w:r w:rsidR="00825200">
              <w:rPr>
                <w:rFonts w:ascii="Arial" w:hAnsi="Arial" w:cs="Arial"/>
              </w:rPr>
              <w:t>)</w:t>
            </w:r>
          </w:p>
          <w:p w14:paraId="3E0F52DF" w14:textId="77777777" w:rsidR="009C0031" w:rsidRDefault="009C0031" w:rsidP="00B244CA">
            <w:pPr>
              <w:pStyle w:val="ListParagraph"/>
              <w:numPr>
                <w:ilvl w:val="0"/>
                <w:numId w:val="43"/>
              </w:numPr>
              <w:rPr>
                <w:rFonts w:ascii="Arial" w:hAnsi="Arial" w:cs="Arial"/>
              </w:rPr>
            </w:pPr>
            <w:r>
              <w:rPr>
                <w:rFonts w:ascii="Arial" w:hAnsi="Arial" w:cs="Arial"/>
              </w:rPr>
              <w:t>Primary outcome measure for Objective 1 changed from 5</w:t>
            </w:r>
            <w:r w:rsidRPr="009C0031">
              <w:rPr>
                <w:rFonts w:ascii="Arial" w:hAnsi="Arial" w:cs="Arial"/>
                <w:vertAlign w:val="superscript"/>
              </w:rPr>
              <w:t>th</w:t>
            </w:r>
            <w:r>
              <w:rPr>
                <w:rFonts w:ascii="Arial" w:hAnsi="Arial" w:cs="Arial"/>
              </w:rPr>
              <w:t xml:space="preserve"> to 10</w:t>
            </w:r>
            <w:r w:rsidRPr="009C0031">
              <w:rPr>
                <w:rFonts w:ascii="Arial" w:hAnsi="Arial" w:cs="Arial"/>
                <w:vertAlign w:val="superscript"/>
              </w:rPr>
              <w:t>th</w:t>
            </w:r>
            <w:r>
              <w:rPr>
                <w:rFonts w:ascii="Arial" w:hAnsi="Arial" w:cs="Arial"/>
              </w:rPr>
              <w:t xml:space="preserve"> centile of parasitaemia (</w:t>
            </w:r>
            <w:r w:rsidR="00B04AEA">
              <w:rPr>
                <w:rFonts w:ascii="Arial" w:hAnsi="Arial" w:cs="Arial"/>
              </w:rPr>
              <w:t>less influenced by outlying values)</w:t>
            </w:r>
          </w:p>
          <w:p w14:paraId="4F3B19F1" w14:textId="1FBD56D9" w:rsidR="005A3025" w:rsidRPr="00B244CA" w:rsidRDefault="005A3025" w:rsidP="00B244CA">
            <w:pPr>
              <w:pStyle w:val="ListParagraph"/>
              <w:numPr>
                <w:ilvl w:val="0"/>
                <w:numId w:val="43"/>
              </w:numPr>
              <w:rPr>
                <w:rFonts w:ascii="Arial" w:hAnsi="Arial" w:cs="Arial"/>
              </w:rPr>
            </w:pPr>
            <w:r>
              <w:rPr>
                <w:rFonts w:ascii="Arial" w:hAnsi="Arial" w:cs="Arial"/>
              </w:rPr>
              <w:t>Update to the writing group authors</w:t>
            </w:r>
          </w:p>
        </w:tc>
        <w:tc>
          <w:tcPr>
            <w:tcW w:w="3006" w:type="dxa"/>
          </w:tcPr>
          <w:p w14:paraId="295F06EC" w14:textId="466F25C8" w:rsidR="005D31A9" w:rsidRDefault="005F37A7" w:rsidP="00E43FDF">
            <w:pPr>
              <w:rPr>
                <w:rFonts w:ascii="Arial" w:hAnsi="Arial" w:cs="Arial"/>
              </w:rPr>
            </w:pPr>
            <w:r>
              <w:rPr>
                <w:rFonts w:ascii="Arial" w:hAnsi="Arial" w:cs="Arial"/>
              </w:rPr>
              <w:t>14</w:t>
            </w:r>
            <w:r w:rsidR="006D2B39">
              <w:rPr>
                <w:rFonts w:ascii="Arial" w:hAnsi="Arial" w:cs="Arial"/>
              </w:rPr>
              <w:t>/0</w:t>
            </w:r>
            <w:r>
              <w:rPr>
                <w:rFonts w:ascii="Arial" w:hAnsi="Arial" w:cs="Arial"/>
              </w:rPr>
              <w:t>2</w:t>
            </w:r>
            <w:r w:rsidR="006D2B39">
              <w:rPr>
                <w:rFonts w:ascii="Arial" w:hAnsi="Arial" w:cs="Arial"/>
              </w:rPr>
              <w:t>/202</w:t>
            </w:r>
            <w:r>
              <w:rPr>
                <w:rFonts w:ascii="Arial" w:hAnsi="Arial" w:cs="Arial"/>
              </w:rPr>
              <w:t>2</w:t>
            </w:r>
          </w:p>
        </w:tc>
      </w:tr>
    </w:tbl>
    <w:p w14:paraId="66B004A6" w14:textId="77777777" w:rsidR="00157EE5" w:rsidRDefault="00157EE5" w:rsidP="00157EE5">
      <w:pPr>
        <w:spacing w:after="0" w:line="240" w:lineRule="auto"/>
        <w:rPr>
          <w:rFonts w:ascii="Arial" w:hAnsi="Arial" w:cs="Arial"/>
        </w:rPr>
      </w:pPr>
    </w:p>
    <w:p w14:paraId="09AF30FF" w14:textId="77777777" w:rsidR="00157EE5" w:rsidRDefault="00157EE5" w:rsidP="00157EE5">
      <w:pPr>
        <w:spacing w:after="0" w:line="240" w:lineRule="auto"/>
        <w:rPr>
          <w:rFonts w:ascii="Arial" w:hAnsi="Arial" w:cs="Arial"/>
        </w:rPr>
      </w:pPr>
    </w:p>
    <w:p w14:paraId="20F74E33" w14:textId="77777777" w:rsidR="00157EE5" w:rsidRDefault="00157EE5" w:rsidP="00157EE5">
      <w:pPr>
        <w:spacing w:after="0" w:line="240" w:lineRule="auto"/>
        <w:rPr>
          <w:rFonts w:ascii="Arial" w:hAnsi="Arial" w:cs="Arial"/>
        </w:rPr>
      </w:pPr>
    </w:p>
    <w:p w14:paraId="4A7FD0C5" w14:textId="77777777" w:rsidR="00157EE5" w:rsidRDefault="00157EE5" w:rsidP="00157EE5">
      <w:pPr>
        <w:spacing w:after="0" w:line="240" w:lineRule="auto"/>
        <w:rPr>
          <w:rFonts w:ascii="Arial" w:hAnsi="Arial" w:cs="Arial"/>
        </w:rPr>
      </w:pPr>
    </w:p>
    <w:p w14:paraId="2478F208" w14:textId="77777777" w:rsidR="00157EE5" w:rsidRPr="002F681B" w:rsidRDefault="00157EE5" w:rsidP="00157EE5">
      <w:pPr>
        <w:spacing w:after="0" w:line="240" w:lineRule="auto"/>
        <w:rPr>
          <w:rFonts w:ascii="Arial" w:hAnsi="Arial" w:cs="Arial"/>
          <w:b/>
          <w:sz w:val="28"/>
          <w:szCs w:val="28"/>
        </w:rPr>
      </w:pPr>
      <w:r w:rsidRPr="00B40D22">
        <w:rPr>
          <w:rFonts w:ascii="Arial" w:hAnsi="Arial" w:cs="Arial"/>
        </w:rPr>
        <w:br w:type="page"/>
      </w:r>
      <w:r w:rsidRPr="005858EA">
        <w:rPr>
          <w:rFonts w:ascii="Arial" w:hAnsi="Arial" w:cs="Arial"/>
          <w:b/>
          <w:color w:val="0070C0"/>
          <w:sz w:val="28"/>
          <w:szCs w:val="28"/>
        </w:rPr>
        <w:lastRenderedPageBreak/>
        <w:t>Contents</w:t>
      </w:r>
    </w:p>
    <w:p w14:paraId="4EE9D5ED" w14:textId="77777777" w:rsidR="00157EE5" w:rsidRPr="00B40D22" w:rsidRDefault="00157EE5" w:rsidP="00157EE5">
      <w:pPr>
        <w:spacing w:after="0" w:line="360" w:lineRule="auto"/>
        <w:rPr>
          <w:rFonts w:ascii="Arial" w:hAnsi="Arial" w:cs="Arial"/>
        </w:rPr>
      </w:pPr>
    </w:p>
    <w:p w14:paraId="7BC0C7B3" w14:textId="77777777" w:rsidR="00157EE5" w:rsidRPr="00CB6A2E" w:rsidRDefault="00157EE5" w:rsidP="00157EE5">
      <w:pPr>
        <w:pStyle w:val="ListParagraph"/>
        <w:numPr>
          <w:ilvl w:val="0"/>
          <w:numId w:val="1"/>
        </w:numPr>
        <w:spacing w:after="0" w:line="360" w:lineRule="auto"/>
        <w:rPr>
          <w:rFonts w:ascii="Arial" w:hAnsi="Arial" w:cs="Arial"/>
          <w:b/>
        </w:rPr>
      </w:pPr>
      <w:r w:rsidRPr="00CB6A2E">
        <w:rPr>
          <w:rFonts w:ascii="Arial" w:hAnsi="Arial" w:cs="Arial"/>
          <w:b/>
        </w:rPr>
        <w:t>Contents</w:t>
      </w:r>
    </w:p>
    <w:p w14:paraId="2DBA1FBB" w14:textId="77777777" w:rsidR="00157EE5" w:rsidRPr="00CB6A2E" w:rsidRDefault="00157EE5" w:rsidP="00157EE5">
      <w:pPr>
        <w:pStyle w:val="ListParagraph"/>
        <w:numPr>
          <w:ilvl w:val="0"/>
          <w:numId w:val="1"/>
        </w:numPr>
        <w:spacing w:after="0" w:line="360" w:lineRule="auto"/>
        <w:rPr>
          <w:rFonts w:ascii="Arial" w:hAnsi="Arial" w:cs="Arial"/>
          <w:b/>
        </w:rPr>
      </w:pPr>
      <w:r w:rsidRPr="00CB6A2E">
        <w:rPr>
          <w:rFonts w:ascii="Arial" w:hAnsi="Arial" w:cs="Arial"/>
          <w:b/>
        </w:rPr>
        <w:t>Introduction and Rationale</w:t>
      </w:r>
    </w:p>
    <w:p w14:paraId="58600C98" w14:textId="77777777" w:rsidR="00157EE5" w:rsidRDefault="00157EE5" w:rsidP="00157EE5">
      <w:pPr>
        <w:pStyle w:val="ListParagraph"/>
        <w:numPr>
          <w:ilvl w:val="0"/>
          <w:numId w:val="1"/>
        </w:numPr>
        <w:spacing w:after="0" w:line="360" w:lineRule="auto"/>
        <w:rPr>
          <w:rFonts w:ascii="Arial" w:hAnsi="Arial" w:cs="Arial"/>
          <w:b/>
        </w:rPr>
      </w:pPr>
      <w:r w:rsidRPr="00CB6A2E">
        <w:rPr>
          <w:rFonts w:ascii="Arial" w:hAnsi="Arial" w:cs="Arial"/>
          <w:b/>
        </w:rPr>
        <w:t>Aim</w:t>
      </w:r>
    </w:p>
    <w:p w14:paraId="77CFFDE1" w14:textId="77777777" w:rsidR="00157EE5" w:rsidRDefault="00157EE5" w:rsidP="00157EE5">
      <w:pPr>
        <w:pStyle w:val="ListParagraph"/>
        <w:numPr>
          <w:ilvl w:val="0"/>
          <w:numId w:val="1"/>
        </w:numPr>
        <w:spacing w:after="0" w:line="360" w:lineRule="auto"/>
        <w:rPr>
          <w:rFonts w:ascii="Arial" w:hAnsi="Arial" w:cs="Arial"/>
          <w:b/>
        </w:rPr>
      </w:pPr>
      <w:r>
        <w:rPr>
          <w:rFonts w:ascii="Arial" w:hAnsi="Arial" w:cs="Arial"/>
          <w:b/>
        </w:rPr>
        <w:t>Study Identification and Data Pooling</w:t>
      </w:r>
    </w:p>
    <w:p w14:paraId="014B98B4" w14:textId="77777777" w:rsidR="00157EE5" w:rsidRPr="00CB6A2E" w:rsidRDefault="00157EE5" w:rsidP="00157EE5">
      <w:pPr>
        <w:pStyle w:val="ListParagraph"/>
        <w:numPr>
          <w:ilvl w:val="0"/>
          <w:numId w:val="1"/>
        </w:numPr>
        <w:spacing w:after="0" w:line="360" w:lineRule="auto"/>
        <w:rPr>
          <w:rFonts w:ascii="Arial" w:hAnsi="Arial" w:cs="Arial"/>
          <w:b/>
        </w:rPr>
      </w:pPr>
      <w:r w:rsidRPr="00CB6A2E">
        <w:rPr>
          <w:rFonts w:ascii="Arial" w:hAnsi="Arial" w:cs="Arial"/>
          <w:b/>
        </w:rPr>
        <w:t>Study Enrolment</w:t>
      </w:r>
    </w:p>
    <w:p w14:paraId="4C2DDD86" w14:textId="77777777" w:rsidR="00157EE5" w:rsidRPr="00CB6A2E" w:rsidRDefault="00157EE5" w:rsidP="00157EE5">
      <w:pPr>
        <w:spacing w:after="0" w:line="360" w:lineRule="auto"/>
        <w:ind w:left="720"/>
        <w:rPr>
          <w:rFonts w:ascii="Arial" w:hAnsi="Arial" w:cs="Arial"/>
        </w:rPr>
      </w:pPr>
      <w:r>
        <w:rPr>
          <w:rFonts w:ascii="Arial" w:hAnsi="Arial" w:cs="Arial"/>
        </w:rPr>
        <w:t>5</w:t>
      </w:r>
      <w:r w:rsidRPr="00CB6A2E">
        <w:rPr>
          <w:rFonts w:ascii="Arial" w:hAnsi="Arial" w:cs="Arial"/>
        </w:rPr>
        <w:t>.1   Essential Inclusion Criteria</w:t>
      </w:r>
    </w:p>
    <w:p w14:paraId="16983700" w14:textId="77777777" w:rsidR="00157EE5" w:rsidRPr="003B4567" w:rsidRDefault="00157EE5" w:rsidP="00157EE5">
      <w:pPr>
        <w:pStyle w:val="ListParagraph"/>
        <w:spacing w:after="0" w:line="360" w:lineRule="auto"/>
        <w:rPr>
          <w:rFonts w:ascii="Arial" w:hAnsi="Arial" w:cs="Arial"/>
        </w:rPr>
      </w:pPr>
      <w:r>
        <w:rPr>
          <w:rFonts w:ascii="Arial" w:hAnsi="Arial" w:cs="Arial"/>
        </w:rPr>
        <w:t>5</w:t>
      </w:r>
      <w:r w:rsidRPr="00CB6A2E">
        <w:rPr>
          <w:rFonts w:ascii="Arial" w:hAnsi="Arial" w:cs="Arial"/>
        </w:rPr>
        <w:t xml:space="preserve">.2   Desirable </w:t>
      </w:r>
      <w:r>
        <w:rPr>
          <w:rFonts w:ascii="Arial" w:hAnsi="Arial" w:cs="Arial"/>
        </w:rPr>
        <w:t xml:space="preserve">Inclusion </w:t>
      </w:r>
      <w:r w:rsidRPr="00CB6A2E">
        <w:rPr>
          <w:rFonts w:ascii="Arial" w:hAnsi="Arial" w:cs="Arial"/>
        </w:rPr>
        <w:t>Criteria</w:t>
      </w:r>
    </w:p>
    <w:p w14:paraId="6882A75B" w14:textId="77777777" w:rsidR="00157EE5" w:rsidRPr="00CB6A2E" w:rsidRDefault="00157EE5" w:rsidP="00157EE5">
      <w:pPr>
        <w:pStyle w:val="ListParagraph"/>
        <w:spacing w:after="0" w:line="360" w:lineRule="auto"/>
        <w:rPr>
          <w:rFonts w:ascii="Arial" w:hAnsi="Arial" w:cs="Arial"/>
        </w:rPr>
      </w:pPr>
      <w:r>
        <w:rPr>
          <w:rFonts w:ascii="Arial" w:hAnsi="Arial" w:cs="Arial"/>
        </w:rPr>
        <w:t>5</w:t>
      </w:r>
      <w:r w:rsidRPr="00CB6A2E">
        <w:rPr>
          <w:rFonts w:ascii="Arial" w:hAnsi="Arial" w:cs="Arial"/>
        </w:rPr>
        <w:t>.3   Exclusion Criteria</w:t>
      </w:r>
    </w:p>
    <w:p w14:paraId="775B3C46" w14:textId="77777777" w:rsidR="00157EE5" w:rsidRPr="00CB6A2E" w:rsidRDefault="00157EE5" w:rsidP="00157EE5">
      <w:pPr>
        <w:pStyle w:val="ListParagraph"/>
        <w:numPr>
          <w:ilvl w:val="0"/>
          <w:numId w:val="1"/>
        </w:numPr>
        <w:spacing w:after="0" w:line="360" w:lineRule="auto"/>
        <w:rPr>
          <w:rFonts w:ascii="Arial" w:hAnsi="Arial" w:cs="Arial"/>
          <w:b/>
        </w:rPr>
      </w:pPr>
      <w:r w:rsidRPr="00CB6A2E">
        <w:rPr>
          <w:rFonts w:ascii="Arial" w:hAnsi="Arial" w:cs="Arial"/>
          <w:b/>
        </w:rPr>
        <w:t>Outline of Statistical Analysis</w:t>
      </w:r>
    </w:p>
    <w:p w14:paraId="0224510E" w14:textId="77777777" w:rsidR="00157EE5" w:rsidRPr="00334AF4" w:rsidRDefault="00157EE5" w:rsidP="00157EE5">
      <w:pPr>
        <w:pStyle w:val="ListParagraph"/>
        <w:spacing w:after="0" w:line="360" w:lineRule="auto"/>
        <w:rPr>
          <w:rFonts w:ascii="Arial" w:hAnsi="Arial" w:cs="Arial"/>
        </w:rPr>
      </w:pPr>
      <w:r w:rsidRPr="00CB6A2E">
        <w:rPr>
          <w:rFonts w:ascii="Arial" w:hAnsi="Arial" w:cs="Arial"/>
        </w:rPr>
        <w:t>6.1   Specific Objectives of the Study</w:t>
      </w:r>
    </w:p>
    <w:p w14:paraId="464630DF" w14:textId="77777777" w:rsidR="00157EE5" w:rsidRPr="004B4843" w:rsidRDefault="00157EE5" w:rsidP="00157EE5">
      <w:pPr>
        <w:pStyle w:val="ListParagraph"/>
        <w:spacing w:after="0" w:line="360" w:lineRule="auto"/>
        <w:rPr>
          <w:rFonts w:ascii="Arial" w:hAnsi="Arial" w:cs="Arial"/>
        </w:rPr>
      </w:pPr>
      <w:r w:rsidRPr="00CB6A2E">
        <w:rPr>
          <w:rFonts w:ascii="Arial" w:hAnsi="Arial" w:cs="Arial"/>
        </w:rPr>
        <w:t>6.2   Study Endpoints</w:t>
      </w:r>
    </w:p>
    <w:p w14:paraId="0DCDA9FE" w14:textId="77777777" w:rsidR="00157EE5" w:rsidRDefault="00157EE5" w:rsidP="00157EE5">
      <w:pPr>
        <w:pStyle w:val="ListParagraph"/>
        <w:spacing w:after="0" w:line="360" w:lineRule="auto"/>
        <w:rPr>
          <w:rFonts w:ascii="Arial" w:hAnsi="Arial" w:cs="Arial"/>
        </w:rPr>
      </w:pPr>
      <w:r w:rsidRPr="00CB6A2E">
        <w:rPr>
          <w:rFonts w:ascii="Arial" w:hAnsi="Arial" w:cs="Arial"/>
        </w:rPr>
        <w:t>6.</w:t>
      </w:r>
      <w:r>
        <w:rPr>
          <w:rFonts w:ascii="Arial" w:hAnsi="Arial" w:cs="Arial"/>
        </w:rPr>
        <w:t>3</w:t>
      </w:r>
      <w:r w:rsidRPr="00CB6A2E">
        <w:rPr>
          <w:rFonts w:ascii="Arial" w:hAnsi="Arial" w:cs="Arial"/>
        </w:rPr>
        <w:t xml:space="preserve">   Summary of Statistical Analyses</w:t>
      </w:r>
    </w:p>
    <w:p w14:paraId="25FF2AA0" w14:textId="7904B74F" w:rsidR="00157EE5" w:rsidRDefault="00157EE5" w:rsidP="00157EE5">
      <w:pPr>
        <w:pStyle w:val="ListParagraph"/>
        <w:spacing w:after="0" w:line="360" w:lineRule="auto"/>
        <w:rPr>
          <w:rFonts w:ascii="Arial" w:hAnsi="Arial" w:cs="Arial"/>
          <w:u w:val="single"/>
        </w:rPr>
      </w:pPr>
      <w:r>
        <w:rPr>
          <w:rFonts w:ascii="Arial" w:hAnsi="Arial" w:cs="Arial"/>
        </w:rPr>
        <w:tab/>
        <w:t xml:space="preserve">6.3.1 </w:t>
      </w:r>
      <w:r w:rsidRPr="00B35B97">
        <w:rPr>
          <w:rFonts w:ascii="Arial" w:hAnsi="Arial" w:cs="Arial"/>
          <w:u w:val="single"/>
        </w:rPr>
        <w:t>Summary Study Profile</w:t>
      </w:r>
      <w:r w:rsidR="002B41A9">
        <w:rPr>
          <w:rFonts w:ascii="Arial" w:hAnsi="Arial" w:cs="Arial"/>
          <w:u w:val="single"/>
        </w:rPr>
        <w:t>s</w:t>
      </w:r>
    </w:p>
    <w:p w14:paraId="5BF2CE37" w14:textId="2D28023A" w:rsidR="003074D6" w:rsidRPr="00334AF4" w:rsidRDefault="003074D6" w:rsidP="00157EE5">
      <w:pPr>
        <w:pStyle w:val="ListParagraph"/>
        <w:spacing w:after="0" w:line="360" w:lineRule="auto"/>
        <w:rPr>
          <w:rFonts w:ascii="Arial" w:hAnsi="Arial" w:cs="Arial"/>
        </w:rPr>
      </w:pPr>
      <w:r>
        <w:rPr>
          <w:rFonts w:ascii="Arial" w:hAnsi="Arial" w:cs="Arial"/>
        </w:rPr>
        <w:tab/>
        <w:t xml:space="preserve">6.3.2 </w:t>
      </w:r>
      <w:r w:rsidRPr="003074D6">
        <w:rPr>
          <w:rFonts w:ascii="Arial" w:hAnsi="Arial" w:cs="Arial"/>
          <w:u w:val="single"/>
        </w:rPr>
        <w:t>Definitions</w:t>
      </w:r>
    </w:p>
    <w:p w14:paraId="4912FC30" w14:textId="21353FB5" w:rsidR="00157EE5" w:rsidRDefault="00157EE5" w:rsidP="00B35B97">
      <w:pPr>
        <w:pStyle w:val="ListParagraph"/>
        <w:spacing w:after="0" w:line="360" w:lineRule="auto"/>
        <w:ind w:left="1440"/>
        <w:rPr>
          <w:rFonts w:ascii="Arial" w:hAnsi="Arial" w:cs="Arial"/>
        </w:rPr>
      </w:pPr>
      <w:r>
        <w:rPr>
          <w:rFonts w:ascii="Arial" w:hAnsi="Arial" w:cs="Arial"/>
        </w:rPr>
        <w:t>6.3.</w:t>
      </w:r>
      <w:r w:rsidR="003074D6">
        <w:rPr>
          <w:rFonts w:ascii="Arial" w:hAnsi="Arial" w:cs="Arial"/>
        </w:rPr>
        <w:t>3</w:t>
      </w:r>
      <w:r>
        <w:rPr>
          <w:rFonts w:ascii="Arial" w:hAnsi="Arial" w:cs="Arial"/>
        </w:rPr>
        <w:t xml:space="preserve"> </w:t>
      </w:r>
      <w:r w:rsidRPr="00B35B97">
        <w:rPr>
          <w:rFonts w:ascii="Arial" w:hAnsi="Arial" w:cs="Arial"/>
          <w:u w:val="single"/>
        </w:rPr>
        <w:t>Objective 1</w:t>
      </w:r>
      <w:r>
        <w:rPr>
          <w:rFonts w:ascii="Arial" w:hAnsi="Arial" w:cs="Arial"/>
        </w:rPr>
        <w:t xml:space="preserve"> – </w:t>
      </w:r>
      <w:r w:rsidR="005C442A">
        <w:rPr>
          <w:rFonts w:ascii="Arial" w:hAnsi="Arial" w:cs="Arial"/>
          <w:iCs/>
        </w:rPr>
        <w:t>To inform the development and evaluation of diagnostic</w:t>
      </w:r>
      <w:r w:rsidR="000B0D23">
        <w:rPr>
          <w:rFonts w:ascii="Arial" w:hAnsi="Arial" w:cs="Arial"/>
          <w:iCs/>
        </w:rPr>
        <w:t xml:space="preserve"> tools</w:t>
      </w:r>
      <w:r w:rsidR="005C442A">
        <w:rPr>
          <w:rFonts w:ascii="Arial" w:hAnsi="Arial" w:cs="Arial"/>
          <w:iCs/>
        </w:rPr>
        <w:t xml:space="preserve"> for vivax malaria</w:t>
      </w:r>
    </w:p>
    <w:p w14:paraId="54B2DC6B" w14:textId="48BA75AF" w:rsidR="00157EE5" w:rsidRDefault="00157EE5" w:rsidP="0054540D">
      <w:pPr>
        <w:pStyle w:val="ListParagraph"/>
        <w:spacing w:after="0" w:line="360" w:lineRule="auto"/>
        <w:ind w:left="1440"/>
        <w:rPr>
          <w:rFonts w:ascii="Arial" w:hAnsi="Arial" w:cs="Arial"/>
        </w:rPr>
      </w:pPr>
      <w:r>
        <w:rPr>
          <w:rFonts w:ascii="Arial" w:hAnsi="Arial" w:cs="Arial"/>
        </w:rPr>
        <w:t>6.3.</w:t>
      </w:r>
      <w:r w:rsidR="003074D6">
        <w:rPr>
          <w:rFonts w:ascii="Arial" w:hAnsi="Arial" w:cs="Arial"/>
        </w:rPr>
        <w:t>4</w:t>
      </w:r>
      <w:r>
        <w:rPr>
          <w:rFonts w:ascii="Arial" w:hAnsi="Arial" w:cs="Arial"/>
        </w:rPr>
        <w:t xml:space="preserve"> </w:t>
      </w:r>
      <w:r w:rsidRPr="00B35B97">
        <w:rPr>
          <w:rFonts w:ascii="Arial" w:hAnsi="Arial" w:cs="Arial"/>
          <w:u w:val="single"/>
        </w:rPr>
        <w:t>Objective 2</w:t>
      </w:r>
      <w:r>
        <w:rPr>
          <w:rFonts w:ascii="Arial" w:hAnsi="Arial" w:cs="Arial"/>
        </w:rPr>
        <w:t xml:space="preserve"> </w:t>
      </w:r>
      <w:r w:rsidRPr="009B679D">
        <w:rPr>
          <w:rFonts w:ascii="Arial" w:hAnsi="Arial" w:cs="Arial"/>
        </w:rPr>
        <w:t xml:space="preserve">– </w:t>
      </w:r>
      <w:r w:rsidR="005C442A">
        <w:rPr>
          <w:rFonts w:ascii="Arial" w:hAnsi="Arial" w:cs="Arial"/>
        </w:rPr>
        <w:t>To i</w:t>
      </w:r>
      <w:r w:rsidR="00F311D0">
        <w:rPr>
          <w:rFonts w:ascii="Arial" w:hAnsi="Arial" w:cs="Arial"/>
        </w:rPr>
        <w:t>nform</w:t>
      </w:r>
      <w:r w:rsidR="005C442A">
        <w:rPr>
          <w:rFonts w:ascii="Arial" w:hAnsi="Arial" w:cs="Arial"/>
        </w:rPr>
        <w:t xml:space="preserve"> clinical and epidemiological understanding of the relationship between fever and </w:t>
      </w:r>
      <w:r w:rsidR="005C442A">
        <w:rPr>
          <w:rFonts w:ascii="Arial" w:hAnsi="Arial" w:cs="Arial"/>
          <w:i/>
          <w:iCs/>
        </w:rPr>
        <w:t xml:space="preserve">P. vivax </w:t>
      </w:r>
      <w:r w:rsidR="005C442A">
        <w:rPr>
          <w:rFonts w:ascii="Arial" w:hAnsi="Arial" w:cs="Arial"/>
        </w:rPr>
        <w:t>parasitaemia</w:t>
      </w:r>
    </w:p>
    <w:p w14:paraId="344199A9" w14:textId="373FBAB9" w:rsidR="00CE2DDA" w:rsidRPr="001633CC" w:rsidRDefault="00CE2DDA" w:rsidP="0054540D">
      <w:pPr>
        <w:pStyle w:val="ListParagraph"/>
        <w:spacing w:after="0" w:line="360" w:lineRule="auto"/>
        <w:ind w:left="1440"/>
        <w:rPr>
          <w:rFonts w:ascii="Arial" w:hAnsi="Arial" w:cs="Arial"/>
        </w:rPr>
      </w:pPr>
      <w:r>
        <w:rPr>
          <w:rFonts w:ascii="Arial" w:hAnsi="Arial" w:cs="Arial"/>
        </w:rPr>
        <w:t xml:space="preserve">6.3.5 </w:t>
      </w:r>
      <w:r w:rsidRPr="00CE2DDA">
        <w:rPr>
          <w:rFonts w:ascii="Arial" w:hAnsi="Arial" w:cs="Arial"/>
          <w:u w:val="single"/>
        </w:rPr>
        <w:t>Additional Sensitivity Analyses</w:t>
      </w:r>
    </w:p>
    <w:p w14:paraId="51E730BF" w14:textId="77777777" w:rsidR="00157EE5" w:rsidRPr="00844B83" w:rsidRDefault="00157EE5" w:rsidP="00157EE5">
      <w:pPr>
        <w:pStyle w:val="ListParagraph"/>
        <w:numPr>
          <w:ilvl w:val="0"/>
          <w:numId w:val="1"/>
        </w:numPr>
        <w:spacing w:after="0" w:line="360" w:lineRule="auto"/>
        <w:rPr>
          <w:rFonts w:ascii="Arial" w:hAnsi="Arial" w:cs="Arial"/>
          <w:b/>
        </w:rPr>
      </w:pPr>
      <w:r w:rsidRPr="00844B83">
        <w:rPr>
          <w:rFonts w:ascii="Arial" w:hAnsi="Arial" w:cs="Arial"/>
          <w:b/>
        </w:rPr>
        <w:t>Tools</w:t>
      </w:r>
    </w:p>
    <w:p w14:paraId="2D45F883" w14:textId="77777777" w:rsidR="00157EE5" w:rsidRPr="00844B83" w:rsidRDefault="00157EE5" w:rsidP="00157EE5">
      <w:pPr>
        <w:pStyle w:val="ListParagraph"/>
        <w:numPr>
          <w:ilvl w:val="0"/>
          <w:numId w:val="1"/>
        </w:numPr>
        <w:spacing w:after="0" w:line="360" w:lineRule="auto"/>
        <w:rPr>
          <w:rFonts w:ascii="Arial" w:hAnsi="Arial" w:cs="Arial"/>
          <w:b/>
        </w:rPr>
      </w:pPr>
      <w:r w:rsidRPr="00844B83">
        <w:rPr>
          <w:rFonts w:ascii="Arial" w:hAnsi="Arial" w:cs="Arial"/>
          <w:b/>
        </w:rPr>
        <w:t>Study Group Governance, Management, Co-ordination, and Publication Policy</w:t>
      </w:r>
    </w:p>
    <w:p w14:paraId="705B8D5B" w14:textId="77777777" w:rsidR="00157EE5" w:rsidRPr="00844B83" w:rsidRDefault="00157EE5" w:rsidP="00157EE5">
      <w:pPr>
        <w:pStyle w:val="ListParagraph"/>
        <w:numPr>
          <w:ilvl w:val="0"/>
          <w:numId w:val="1"/>
        </w:numPr>
        <w:spacing w:after="0" w:line="360" w:lineRule="auto"/>
        <w:rPr>
          <w:rFonts w:ascii="Arial" w:hAnsi="Arial" w:cs="Arial"/>
          <w:b/>
        </w:rPr>
      </w:pPr>
      <w:r w:rsidRPr="00844B83">
        <w:rPr>
          <w:rFonts w:ascii="Arial" w:hAnsi="Arial" w:cs="Arial"/>
          <w:b/>
        </w:rPr>
        <w:t>Potential Policy Outcome</w:t>
      </w:r>
    </w:p>
    <w:p w14:paraId="034ADF1D" w14:textId="77777777" w:rsidR="00157EE5" w:rsidRPr="00844B83" w:rsidRDefault="00157EE5" w:rsidP="00157EE5">
      <w:pPr>
        <w:pStyle w:val="ListParagraph"/>
        <w:numPr>
          <w:ilvl w:val="0"/>
          <w:numId w:val="1"/>
        </w:numPr>
        <w:spacing w:after="0" w:line="360" w:lineRule="auto"/>
        <w:rPr>
          <w:rFonts w:ascii="Arial" w:hAnsi="Arial" w:cs="Arial"/>
          <w:b/>
        </w:rPr>
      </w:pPr>
      <w:r w:rsidRPr="00844B83">
        <w:rPr>
          <w:rFonts w:ascii="Arial" w:hAnsi="Arial" w:cs="Arial"/>
          <w:b/>
        </w:rPr>
        <w:t>References</w:t>
      </w:r>
    </w:p>
    <w:p w14:paraId="6A5E032C" w14:textId="77777777" w:rsidR="00157EE5" w:rsidRPr="00844B83" w:rsidRDefault="00157EE5" w:rsidP="00157EE5">
      <w:pPr>
        <w:pStyle w:val="ListParagraph"/>
        <w:numPr>
          <w:ilvl w:val="0"/>
          <w:numId w:val="1"/>
        </w:numPr>
        <w:spacing w:after="0" w:line="360" w:lineRule="auto"/>
        <w:rPr>
          <w:rFonts w:ascii="Arial" w:hAnsi="Arial" w:cs="Arial"/>
          <w:b/>
        </w:rPr>
      </w:pPr>
      <w:r w:rsidRPr="00844B83">
        <w:rPr>
          <w:rFonts w:ascii="Arial" w:hAnsi="Arial" w:cs="Arial"/>
          <w:b/>
        </w:rPr>
        <w:t>Annex</w:t>
      </w:r>
    </w:p>
    <w:p w14:paraId="33AC8C33" w14:textId="77777777" w:rsidR="00157EE5" w:rsidRDefault="00157EE5" w:rsidP="00157EE5">
      <w:pPr>
        <w:rPr>
          <w:rFonts w:ascii="Arial" w:hAnsi="Arial" w:cs="Arial"/>
        </w:rPr>
      </w:pPr>
      <w:r>
        <w:rPr>
          <w:rFonts w:ascii="Arial" w:hAnsi="Arial" w:cs="Arial"/>
        </w:rPr>
        <w:br w:type="page"/>
      </w:r>
    </w:p>
    <w:p w14:paraId="7D8B4981" w14:textId="77777777" w:rsidR="00157EE5" w:rsidRPr="001D0720" w:rsidRDefault="00157EE5" w:rsidP="00157EE5">
      <w:pPr>
        <w:spacing w:line="240" w:lineRule="auto"/>
        <w:rPr>
          <w:rFonts w:ascii="Arial" w:hAnsi="Arial" w:cs="Arial"/>
        </w:rPr>
      </w:pPr>
      <w:r w:rsidRPr="002434A5">
        <w:rPr>
          <w:rFonts w:ascii="Arial" w:hAnsi="Arial" w:cs="Arial"/>
          <w:b/>
          <w:bCs/>
          <w:color w:val="0070C0"/>
          <w:sz w:val="28"/>
          <w:szCs w:val="28"/>
        </w:rPr>
        <w:lastRenderedPageBreak/>
        <w:t>2. Introduction and Rationale</w:t>
      </w:r>
    </w:p>
    <w:p w14:paraId="638FD6EB" w14:textId="77777777" w:rsidR="00157EE5" w:rsidRPr="00E13429" w:rsidRDefault="00157EE5" w:rsidP="00157EE5">
      <w:pPr>
        <w:pStyle w:val="Default"/>
        <w:rPr>
          <w:rFonts w:ascii="Arial" w:hAnsi="Arial" w:cs="Arial"/>
          <w:sz w:val="22"/>
          <w:szCs w:val="22"/>
        </w:rPr>
      </w:pPr>
      <w:r w:rsidRPr="00C213AC">
        <w:rPr>
          <w:rFonts w:ascii="Arial" w:hAnsi="Arial" w:cs="Arial"/>
          <w:i/>
          <w:sz w:val="22"/>
          <w:szCs w:val="22"/>
        </w:rPr>
        <w:t xml:space="preserve">Plasmodium vivax </w:t>
      </w:r>
      <w:r w:rsidRPr="00C213AC">
        <w:rPr>
          <w:rFonts w:ascii="Arial" w:hAnsi="Arial" w:cs="Arial"/>
          <w:sz w:val="22"/>
          <w:szCs w:val="22"/>
        </w:rPr>
        <w:t>malaria is an important threat to public health in many countries across the Asia-Pacific, Horn of Africa, and the Americas</w:t>
      </w:r>
      <w:r w:rsidRPr="00CB2B5B">
        <w:rPr>
          <w:rFonts w:ascii="Arial" w:hAnsi="Arial" w:cs="Arial"/>
          <w:sz w:val="22"/>
          <w:szCs w:val="22"/>
          <w:vertAlign w:val="superscript"/>
        </w:rPr>
        <w:t>1</w:t>
      </w:r>
      <w:r>
        <w:rPr>
          <w:rFonts w:ascii="Arial" w:hAnsi="Arial" w:cs="Arial"/>
          <w:sz w:val="22"/>
          <w:szCs w:val="22"/>
          <w:vertAlign w:val="superscript"/>
        </w:rPr>
        <w:t>,2</w:t>
      </w:r>
      <w:r w:rsidRPr="00C213AC">
        <w:rPr>
          <w:rFonts w:ascii="Arial" w:hAnsi="Arial" w:cs="Arial"/>
          <w:sz w:val="22"/>
          <w:szCs w:val="22"/>
        </w:rPr>
        <w:t xml:space="preserve">. It has been increasingly associated with severe and fatal outcomes, </w:t>
      </w:r>
      <w:bookmarkStart w:id="0" w:name="_Hlk61363065"/>
      <w:r w:rsidRPr="00C213AC">
        <w:rPr>
          <w:rFonts w:ascii="Arial" w:hAnsi="Arial" w:cs="Arial"/>
          <w:sz w:val="22"/>
          <w:szCs w:val="22"/>
        </w:rPr>
        <w:t>and repeated hypnozoite-induced relapses cause a cumulative risk of anaemia and malnutrition which results in substantial indirect morbidity and</w:t>
      </w:r>
      <w:r>
        <w:rPr>
          <w:rFonts w:ascii="Arial" w:hAnsi="Arial" w:cs="Arial"/>
          <w:sz w:val="22"/>
          <w:szCs w:val="22"/>
        </w:rPr>
        <w:t xml:space="preserve"> </w:t>
      </w:r>
      <w:r w:rsidRPr="00C213AC">
        <w:rPr>
          <w:rFonts w:ascii="Arial" w:hAnsi="Arial" w:cs="Arial"/>
          <w:sz w:val="22"/>
          <w:szCs w:val="22"/>
        </w:rPr>
        <w:t>mortality</w:t>
      </w:r>
      <w:r>
        <w:rPr>
          <w:rFonts w:ascii="Arial" w:hAnsi="Arial" w:cs="Arial"/>
          <w:sz w:val="22"/>
          <w:szCs w:val="22"/>
          <w:vertAlign w:val="superscript"/>
        </w:rPr>
        <w:t>3,4</w:t>
      </w:r>
      <w:r w:rsidRPr="00E13429">
        <w:rPr>
          <w:rFonts w:ascii="Arial" w:hAnsi="Arial" w:cs="Arial"/>
          <w:sz w:val="22"/>
          <w:szCs w:val="22"/>
        </w:rPr>
        <w:t>.</w:t>
      </w:r>
      <w:bookmarkEnd w:id="0"/>
    </w:p>
    <w:p w14:paraId="2034D55B" w14:textId="77777777" w:rsidR="00157EE5" w:rsidRPr="00E13429" w:rsidRDefault="00157EE5" w:rsidP="00157EE5">
      <w:pPr>
        <w:pStyle w:val="Default"/>
        <w:rPr>
          <w:rFonts w:ascii="Arial" w:hAnsi="Arial" w:cs="Arial"/>
          <w:sz w:val="22"/>
          <w:szCs w:val="22"/>
        </w:rPr>
      </w:pPr>
    </w:p>
    <w:p w14:paraId="25E9D1B0" w14:textId="7B1075B9" w:rsidR="00157EE5" w:rsidRPr="00B43B3D" w:rsidRDefault="00157EE5" w:rsidP="00157EE5">
      <w:pPr>
        <w:pStyle w:val="Default"/>
        <w:rPr>
          <w:rFonts w:ascii="Arial" w:hAnsi="Arial" w:cs="Arial"/>
          <w:sz w:val="22"/>
          <w:szCs w:val="22"/>
        </w:rPr>
      </w:pPr>
      <w:r w:rsidRPr="372247B6">
        <w:rPr>
          <w:rFonts w:ascii="Arial" w:hAnsi="Arial" w:cs="Arial"/>
          <w:sz w:val="22"/>
          <w:szCs w:val="22"/>
        </w:rPr>
        <w:t xml:space="preserve">When a mosquito infected with a </w:t>
      </w:r>
      <w:r w:rsidRPr="372247B6">
        <w:rPr>
          <w:rFonts w:ascii="Arial" w:hAnsi="Arial" w:cs="Arial"/>
          <w:i/>
          <w:iCs/>
          <w:sz w:val="22"/>
          <w:szCs w:val="22"/>
        </w:rPr>
        <w:t>Plasmodium</w:t>
      </w:r>
      <w:r w:rsidRPr="372247B6">
        <w:rPr>
          <w:rFonts w:ascii="Arial" w:hAnsi="Arial" w:cs="Arial"/>
          <w:sz w:val="22"/>
          <w:szCs w:val="22"/>
        </w:rPr>
        <w:t xml:space="preserve"> species takes a blood meal from a human, it releases sporozoites into the human circulation, which infect liver cells, incubating for ~5 to 21 days before rupturing and releasing merozoites into the peripheral bloodstream. In the case of </w:t>
      </w:r>
      <w:r w:rsidRPr="372247B6">
        <w:rPr>
          <w:rFonts w:ascii="Arial" w:hAnsi="Arial" w:cs="Arial"/>
          <w:i/>
          <w:iCs/>
          <w:sz w:val="22"/>
          <w:szCs w:val="22"/>
        </w:rPr>
        <w:t>P. vivax</w:t>
      </w:r>
      <w:r w:rsidRPr="372247B6">
        <w:rPr>
          <w:rFonts w:ascii="Arial" w:hAnsi="Arial" w:cs="Arial"/>
          <w:sz w:val="22"/>
          <w:szCs w:val="22"/>
        </w:rPr>
        <w:t xml:space="preserve"> or </w:t>
      </w:r>
      <w:r w:rsidRPr="372247B6">
        <w:rPr>
          <w:rFonts w:ascii="Arial" w:hAnsi="Arial" w:cs="Arial"/>
          <w:i/>
          <w:iCs/>
          <w:sz w:val="22"/>
          <w:szCs w:val="22"/>
        </w:rPr>
        <w:t>P. ovale</w:t>
      </w:r>
      <w:r w:rsidRPr="372247B6">
        <w:rPr>
          <w:rFonts w:ascii="Arial" w:hAnsi="Arial" w:cs="Arial"/>
          <w:sz w:val="22"/>
          <w:szCs w:val="22"/>
        </w:rPr>
        <w:t>, parasites can lie dormant in the liver (hypnozoites), “reactivating” weeks to months after the initial infection to cause recurrent episodes of malaria (relapses). Following rupture of a parasitised hepatocyte, approximately 10</w:t>
      </w:r>
      <w:r w:rsidRPr="372247B6">
        <w:rPr>
          <w:rFonts w:ascii="Arial" w:hAnsi="Arial" w:cs="Arial"/>
          <w:sz w:val="22"/>
          <w:szCs w:val="22"/>
          <w:vertAlign w:val="superscript"/>
        </w:rPr>
        <w:t>4</w:t>
      </w:r>
      <w:r w:rsidRPr="372247B6">
        <w:rPr>
          <w:rFonts w:ascii="Arial" w:hAnsi="Arial" w:cs="Arial"/>
          <w:sz w:val="22"/>
          <w:szCs w:val="22"/>
        </w:rPr>
        <w:t xml:space="preserve"> merozoites are released into the peripheral circulation, subsequently undergoing asexual reproduction every 48 hours. In non-immune individuals, the peripheral parasite count rises exponentially, with symptoms associated with the innate immune response beginning to occur at about the level of microscopic detection (~</w:t>
      </w:r>
      <w:r w:rsidR="00D335F2">
        <w:rPr>
          <w:rFonts w:ascii="Arial" w:hAnsi="Arial" w:cs="Arial"/>
          <w:sz w:val="22"/>
          <w:szCs w:val="22"/>
        </w:rPr>
        <w:t>50</w:t>
      </w:r>
      <w:r w:rsidRPr="372247B6">
        <w:rPr>
          <w:rFonts w:ascii="Arial" w:hAnsi="Arial" w:cs="Arial"/>
          <w:sz w:val="22"/>
          <w:szCs w:val="22"/>
        </w:rPr>
        <w:t>/µL); in an adult this equates to a total infection of approximately 10</w:t>
      </w:r>
      <w:r w:rsidRPr="372247B6">
        <w:rPr>
          <w:rFonts w:ascii="Arial" w:hAnsi="Arial" w:cs="Arial"/>
          <w:sz w:val="22"/>
          <w:szCs w:val="22"/>
          <w:vertAlign w:val="superscript"/>
        </w:rPr>
        <w:t>8</w:t>
      </w:r>
      <w:r w:rsidRPr="372247B6">
        <w:rPr>
          <w:rFonts w:ascii="Arial" w:hAnsi="Arial" w:cs="Arial"/>
          <w:sz w:val="22"/>
          <w:szCs w:val="22"/>
        </w:rPr>
        <w:t xml:space="preserve"> parasites</w:t>
      </w:r>
      <w:r w:rsidR="00335B33">
        <w:rPr>
          <w:rFonts w:ascii="Arial" w:hAnsi="Arial" w:cs="Arial"/>
          <w:sz w:val="22"/>
          <w:szCs w:val="22"/>
          <w:vertAlign w:val="superscript"/>
        </w:rPr>
        <w:t>5,6</w:t>
      </w:r>
      <w:r w:rsidRPr="372247B6">
        <w:rPr>
          <w:rFonts w:ascii="Arial" w:hAnsi="Arial" w:cs="Arial"/>
          <w:sz w:val="22"/>
          <w:szCs w:val="22"/>
        </w:rPr>
        <w:t>. However, repeated episodes of malaria can result in the host developing pathogen-specific immunity, allowing some individuals to harbor higher parasitaemias without manifesting symptoms.</w:t>
      </w:r>
    </w:p>
    <w:p w14:paraId="161E074F" w14:textId="77777777" w:rsidR="00157EE5" w:rsidRDefault="00157EE5" w:rsidP="00157EE5">
      <w:pPr>
        <w:spacing w:after="0" w:line="240" w:lineRule="auto"/>
        <w:rPr>
          <w:rFonts w:ascii="Arial" w:hAnsi="Arial" w:cs="Arial"/>
        </w:rPr>
      </w:pPr>
    </w:p>
    <w:p w14:paraId="190B2849" w14:textId="77777777" w:rsidR="00157EE5" w:rsidRDefault="00157EE5" w:rsidP="00157EE5">
      <w:pPr>
        <w:spacing w:after="0" w:line="240" w:lineRule="auto"/>
        <w:rPr>
          <w:rFonts w:ascii="Arial" w:hAnsi="Arial" w:cs="Arial"/>
        </w:rPr>
      </w:pPr>
      <w:r w:rsidRPr="00E13429">
        <w:rPr>
          <w:rFonts w:ascii="Arial" w:hAnsi="Arial" w:cs="Arial"/>
        </w:rPr>
        <w:t xml:space="preserve">The pyrogenic threshold of a </w:t>
      </w:r>
      <w:r w:rsidRPr="00E13429">
        <w:rPr>
          <w:rFonts w:ascii="Arial" w:hAnsi="Arial" w:cs="Arial"/>
          <w:i/>
          <w:iCs/>
        </w:rPr>
        <w:t>Plasmodium</w:t>
      </w:r>
      <w:r w:rsidRPr="00E13429">
        <w:rPr>
          <w:rFonts w:ascii="Arial" w:hAnsi="Arial" w:cs="Arial"/>
        </w:rPr>
        <w:t xml:space="preserve"> infection is defined as the parasite density </w:t>
      </w:r>
      <w:r>
        <w:rPr>
          <w:rFonts w:ascii="Arial" w:hAnsi="Arial" w:cs="Arial"/>
        </w:rPr>
        <w:t xml:space="preserve">that is </w:t>
      </w:r>
      <w:r w:rsidRPr="00E13429">
        <w:rPr>
          <w:rFonts w:ascii="Arial" w:hAnsi="Arial" w:cs="Arial"/>
        </w:rPr>
        <w:t xml:space="preserve">required to induce a fever. Pyrogenic thresholds vary according to parasite species and strain, and are dynamic within and between individuals according to age, immunity, and </w:t>
      </w:r>
      <w:r>
        <w:rPr>
          <w:rFonts w:ascii="Arial" w:hAnsi="Arial" w:cs="Arial"/>
        </w:rPr>
        <w:t>background levels of endemicity in a community</w:t>
      </w:r>
      <w:r w:rsidRPr="00E13429">
        <w:rPr>
          <w:rFonts w:ascii="Arial" w:hAnsi="Arial" w:cs="Arial"/>
        </w:rPr>
        <w:t>.</w:t>
      </w:r>
    </w:p>
    <w:p w14:paraId="5C15300A" w14:textId="77777777" w:rsidR="00157EE5" w:rsidRDefault="00157EE5" w:rsidP="00157EE5">
      <w:pPr>
        <w:spacing w:after="0" w:line="240" w:lineRule="auto"/>
        <w:rPr>
          <w:rFonts w:ascii="Arial" w:hAnsi="Arial" w:cs="Arial"/>
        </w:rPr>
      </w:pPr>
    </w:p>
    <w:p w14:paraId="389DECE2" w14:textId="462C1B48" w:rsidR="00092B36" w:rsidRDefault="00A30BF1" w:rsidP="00A30BF1">
      <w:pPr>
        <w:spacing w:after="0" w:line="240" w:lineRule="auto"/>
        <w:rPr>
          <w:rFonts w:ascii="Arial" w:hAnsi="Arial" w:cs="Arial"/>
        </w:rPr>
      </w:pPr>
      <w:r>
        <w:rPr>
          <w:rFonts w:ascii="Arial" w:hAnsi="Arial" w:cs="Arial"/>
        </w:rPr>
        <w:t xml:space="preserve">In malaria-endemic countries, </w:t>
      </w:r>
      <w:r w:rsidR="00092B36">
        <w:rPr>
          <w:rFonts w:ascii="Arial" w:hAnsi="Arial" w:cs="Arial"/>
        </w:rPr>
        <w:t xml:space="preserve">an </w:t>
      </w:r>
      <w:r>
        <w:rPr>
          <w:rFonts w:ascii="Arial" w:hAnsi="Arial" w:cs="Arial"/>
        </w:rPr>
        <w:t xml:space="preserve">understanding </w:t>
      </w:r>
      <w:r w:rsidR="005B2807">
        <w:rPr>
          <w:rFonts w:ascii="Arial" w:hAnsi="Arial" w:cs="Arial"/>
        </w:rPr>
        <w:t xml:space="preserve">of </w:t>
      </w:r>
      <w:r>
        <w:rPr>
          <w:rFonts w:ascii="Arial" w:hAnsi="Arial" w:cs="Arial"/>
        </w:rPr>
        <w:t xml:space="preserve">the relationship between fever and </w:t>
      </w:r>
      <w:r>
        <w:rPr>
          <w:rFonts w:ascii="Arial" w:hAnsi="Arial" w:cs="Arial"/>
          <w:i/>
          <w:iCs/>
        </w:rPr>
        <w:t xml:space="preserve">P. vivax </w:t>
      </w:r>
      <w:r>
        <w:rPr>
          <w:rFonts w:ascii="Arial" w:hAnsi="Arial" w:cs="Arial"/>
        </w:rPr>
        <w:t xml:space="preserve">parasitaemia </w:t>
      </w:r>
      <w:r w:rsidR="00092B36">
        <w:rPr>
          <w:rFonts w:ascii="Arial" w:hAnsi="Arial" w:cs="Arial"/>
        </w:rPr>
        <w:t xml:space="preserve">can inform </w:t>
      </w:r>
      <w:r>
        <w:rPr>
          <w:rFonts w:ascii="Arial" w:hAnsi="Arial" w:cs="Arial"/>
        </w:rPr>
        <w:t xml:space="preserve">both clinical </w:t>
      </w:r>
      <w:r w:rsidR="000B0D23">
        <w:rPr>
          <w:rFonts w:ascii="Arial" w:hAnsi="Arial" w:cs="Arial"/>
        </w:rPr>
        <w:t xml:space="preserve">management </w:t>
      </w:r>
      <w:r>
        <w:rPr>
          <w:rFonts w:ascii="Arial" w:hAnsi="Arial" w:cs="Arial"/>
        </w:rPr>
        <w:t xml:space="preserve">and epidemiological </w:t>
      </w:r>
      <w:r w:rsidR="005B2807">
        <w:rPr>
          <w:rFonts w:ascii="Arial" w:hAnsi="Arial" w:cs="Arial"/>
        </w:rPr>
        <w:t>studies</w:t>
      </w:r>
      <w:r w:rsidR="00092B36">
        <w:rPr>
          <w:rFonts w:ascii="Arial" w:hAnsi="Arial" w:cs="Arial"/>
        </w:rPr>
        <w:t xml:space="preserve"> of disease burden</w:t>
      </w:r>
      <w:r>
        <w:rPr>
          <w:rFonts w:ascii="Arial" w:hAnsi="Arial" w:cs="Arial"/>
        </w:rPr>
        <w:t xml:space="preserve">. However, priorities differ in these two settings. In a clinical context, the priority is to identify as many </w:t>
      </w:r>
      <w:r w:rsidR="00092B36">
        <w:rPr>
          <w:rFonts w:ascii="Arial" w:hAnsi="Arial" w:cs="Arial"/>
        </w:rPr>
        <w:t xml:space="preserve">patients as possible with </w:t>
      </w:r>
      <w:r>
        <w:rPr>
          <w:rFonts w:ascii="Arial" w:hAnsi="Arial" w:cs="Arial"/>
        </w:rPr>
        <w:t>malaria (by correctly attributing fever to parasitaemia). In an epidemiological context it is more helpful to understand the pyrogenic threshold and how this varies in different populations and locations.</w:t>
      </w:r>
      <w:r w:rsidR="000E74DD">
        <w:rPr>
          <w:rFonts w:ascii="Arial" w:hAnsi="Arial" w:cs="Arial"/>
        </w:rPr>
        <w:t xml:space="preserve"> </w:t>
      </w:r>
    </w:p>
    <w:p w14:paraId="39C997DC" w14:textId="77777777" w:rsidR="00004FC3" w:rsidRDefault="00004FC3" w:rsidP="00A30BF1">
      <w:pPr>
        <w:spacing w:after="0" w:line="240" w:lineRule="auto"/>
        <w:rPr>
          <w:rFonts w:ascii="Arial" w:hAnsi="Arial" w:cs="Arial"/>
        </w:rPr>
      </w:pPr>
    </w:p>
    <w:p w14:paraId="05C6DC83" w14:textId="7F0514CE" w:rsidR="00A30BF1" w:rsidRDefault="00092B36" w:rsidP="00A30BF1">
      <w:pPr>
        <w:spacing w:after="0" w:line="240" w:lineRule="auto"/>
        <w:rPr>
          <w:rFonts w:ascii="Arial" w:hAnsi="Arial" w:cs="Arial"/>
        </w:rPr>
      </w:pPr>
      <w:r>
        <w:rPr>
          <w:rFonts w:ascii="Arial" w:hAnsi="Arial" w:cs="Arial"/>
        </w:rPr>
        <w:t>We propose a</w:t>
      </w:r>
      <w:r w:rsidR="000E74DD">
        <w:rPr>
          <w:rFonts w:ascii="Arial" w:hAnsi="Arial" w:cs="Arial"/>
        </w:rPr>
        <w:t xml:space="preserve">n individual patient data (IPD) meta-analysis of </w:t>
      </w:r>
      <w:r>
        <w:rPr>
          <w:rFonts w:ascii="Arial" w:hAnsi="Arial" w:cs="Arial"/>
        </w:rPr>
        <w:t xml:space="preserve">patients with </w:t>
      </w:r>
      <w:r w:rsidRPr="00004FC3">
        <w:rPr>
          <w:rFonts w:ascii="Arial" w:hAnsi="Arial" w:cs="Arial"/>
          <w:i/>
          <w:iCs/>
        </w:rPr>
        <w:t>P. vivax</w:t>
      </w:r>
      <w:r>
        <w:rPr>
          <w:rFonts w:ascii="Arial" w:hAnsi="Arial" w:cs="Arial"/>
        </w:rPr>
        <w:t xml:space="preserve"> </w:t>
      </w:r>
      <w:r w:rsidR="000E74DD">
        <w:rPr>
          <w:rFonts w:ascii="Arial" w:hAnsi="Arial" w:cs="Arial"/>
        </w:rPr>
        <w:t>parasitaemia</w:t>
      </w:r>
      <w:r>
        <w:rPr>
          <w:rFonts w:ascii="Arial" w:hAnsi="Arial" w:cs="Arial"/>
        </w:rPr>
        <w:t xml:space="preserve"> </w:t>
      </w:r>
      <w:r w:rsidR="00AC0729">
        <w:rPr>
          <w:rFonts w:ascii="Arial" w:hAnsi="Arial" w:cs="Arial"/>
        </w:rPr>
        <w:t>enrolled</w:t>
      </w:r>
      <w:r>
        <w:rPr>
          <w:rFonts w:ascii="Arial" w:hAnsi="Arial" w:cs="Arial"/>
        </w:rPr>
        <w:t xml:space="preserve"> into</w:t>
      </w:r>
      <w:r w:rsidR="000E74DD">
        <w:rPr>
          <w:rFonts w:ascii="Arial" w:hAnsi="Arial" w:cs="Arial"/>
          <w:i/>
        </w:rPr>
        <w:t xml:space="preserve"> </w:t>
      </w:r>
      <w:r w:rsidR="000E74DD">
        <w:rPr>
          <w:rFonts w:ascii="Arial" w:hAnsi="Arial" w:cs="Arial"/>
        </w:rPr>
        <w:t xml:space="preserve">prospective clinical efficacy studies to </w:t>
      </w:r>
      <w:r>
        <w:rPr>
          <w:rFonts w:ascii="Arial" w:hAnsi="Arial" w:cs="Arial"/>
        </w:rPr>
        <w:t xml:space="preserve">explore </w:t>
      </w:r>
      <w:r w:rsidR="000E74DD">
        <w:rPr>
          <w:rFonts w:ascii="Arial" w:hAnsi="Arial" w:cs="Arial"/>
        </w:rPr>
        <w:t xml:space="preserve">both priorities. </w:t>
      </w:r>
      <w:r>
        <w:rPr>
          <w:rFonts w:ascii="Arial" w:hAnsi="Arial" w:cs="Arial"/>
        </w:rPr>
        <w:t>Antimalarial e</w:t>
      </w:r>
      <w:r w:rsidR="000E74DD">
        <w:rPr>
          <w:rFonts w:ascii="Arial" w:hAnsi="Arial" w:cs="Arial"/>
        </w:rPr>
        <w:t xml:space="preserve">fficacy studies </w:t>
      </w:r>
      <w:r>
        <w:rPr>
          <w:rFonts w:ascii="Arial" w:hAnsi="Arial" w:cs="Arial"/>
        </w:rPr>
        <w:t xml:space="preserve">of patients with </w:t>
      </w:r>
      <w:r w:rsidRPr="00004FC3">
        <w:rPr>
          <w:rFonts w:ascii="Arial" w:hAnsi="Arial" w:cs="Arial"/>
          <w:i/>
          <w:iCs/>
        </w:rPr>
        <w:t>P. vivax</w:t>
      </w:r>
      <w:r>
        <w:rPr>
          <w:rFonts w:ascii="Arial" w:hAnsi="Arial" w:cs="Arial"/>
        </w:rPr>
        <w:t xml:space="preserve"> malaria </w:t>
      </w:r>
      <w:r w:rsidR="000E74DD">
        <w:rPr>
          <w:rFonts w:ascii="Arial" w:hAnsi="Arial" w:cs="Arial"/>
        </w:rPr>
        <w:t xml:space="preserve">will be identified from a systematic review conducted previously (please see </w:t>
      </w:r>
      <w:r w:rsidR="000E74DD" w:rsidRPr="00004FC3">
        <w:rPr>
          <w:rFonts w:ascii="Arial" w:hAnsi="Arial" w:cs="Arial"/>
          <w:color w:val="2E74B5" w:themeColor="accent5" w:themeShade="BF"/>
        </w:rPr>
        <w:t>Section 4</w:t>
      </w:r>
      <w:r w:rsidR="000E74DD">
        <w:rPr>
          <w:rFonts w:ascii="Arial" w:hAnsi="Arial" w:cs="Arial"/>
        </w:rPr>
        <w:t xml:space="preserve"> for further details).</w:t>
      </w:r>
    </w:p>
    <w:p w14:paraId="390638AD" w14:textId="77777777" w:rsidR="00A30BF1" w:rsidRDefault="00A30BF1" w:rsidP="00A30BF1">
      <w:pPr>
        <w:spacing w:after="0" w:line="240" w:lineRule="auto"/>
        <w:rPr>
          <w:rFonts w:ascii="Arial" w:hAnsi="Arial" w:cs="Arial"/>
        </w:rPr>
      </w:pPr>
    </w:p>
    <w:p w14:paraId="252FD5CF" w14:textId="77777777" w:rsidR="002E37C7" w:rsidRDefault="00A30BF1" w:rsidP="00A30BF1">
      <w:pPr>
        <w:spacing w:after="0" w:line="240" w:lineRule="auto"/>
        <w:rPr>
          <w:rFonts w:ascii="Arial" w:hAnsi="Arial" w:cs="Arial"/>
          <w:lang w:val="en-US"/>
        </w:rPr>
      </w:pPr>
      <w:r w:rsidRPr="2DA06710">
        <w:rPr>
          <w:rFonts w:ascii="Arial" w:hAnsi="Arial" w:cs="Arial"/>
          <w:lang w:val="en-US"/>
        </w:rPr>
        <w:t xml:space="preserve">The limits of detection of currently available vivax RDTs make them suitable diagnostic tests for identifying </w:t>
      </w:r>
      <w:r w:rsidR="00092B36">
        <w:rPr>
          <w:rFonts w:ascii="Arial" w:hAnsi="Arial" w:cs="Arial"/>
          <w:lang w:val="en-US"/>
        </w:rPr>
        <w:t xml:space="preserve">patients with </w:t>
      </w:r>
      <w:r w:rsidRPr="2DA06710">
        <w:rPr>
          <w:rFonts w:ascii="Arial" w:hAnsi="Arial" w:cs="Arial"/>
          <w:lang w:val="en-US"/>
        </w:rPr>
        <w:t xml:space="preserve">symptomatic parasitaemia </w:t>
      </w:r>
      <w:r>
        <w:rPr>
          <w:rFonts w:ascii="Arial" w:hAnsi="Arial" w:cs="Arial"/>
          <w:lang w:val="en-US"/>
        </w:rPr>
        <w:t>(</w:t>
      </w:r>
      <w:r w:rsidRPr="2DA06710">
        <w:rPr>
          <w:rFonts w:ascii="Arial" w:hAnsi="Arial" w:cs="Arial"/>
          <w:lang w:val="en-US"/>
        </w:rPr>
        <w:t>clinical malaria</w:t>
      </w:r>
      <w:r>
        <w:rPr>
          <w:rFonts w:ascii="Arial" w:hAnsi="Arial" w:cs="Arial"/>
          <w:lang w:val="en-US"/>
        </w:rPr>
        <w:t>)</w:t>
      </w:r>
      <w:r w:rsidRPr="2DA06710">
        <w:rPr>
          <w:rFonts w:ascii="Arial" w:hAnsi="Arial" w:cs="Arial"/>
          <w:lang w:val="en-US"/>
        </w:rPr>
        <w:t>, but not asymptomatic, low-level parasitaemia</w:t>
      </w:r>
      <w:r>
        <w:rPr>
          <w:rFonts w:ascii="Arial" w:hAnsi="Arial" w:cs="Arial"/>
          <w:lang w:val="en-US"/>
        </w:rPr>
        <w:t xml:space="preserve">. </w:t>
      </w:r>
    </w:p>
    <w:p w14:paraId="682A30DC" w14:textId="77777777" w:rsidR="002E37C7" w:rsidRDefault="002E37C7" w:rsidP="00A30BF1">
      <w:pPr>
        <w:spacing w:after="0" w:line="240" w:lineRule="auto"/>
        <w:rPr>
          <w:rFonts w:ascii="Arial" w:hAnsi="Arial" w:cs="Arial"/>
          <w:lang w:val="en-US"/>
        </w:rPr>
      </w:pPr>
    </w:p>
    <w:p w14:paraId="3EB90955" w14:textId="3E1B9C42" w:rsidR="00A30BF1" w:rsidRDefault="00092B36" w:rsidP="00A30BF1">
      <w:pPr>
        <w:spacing w:after="0" w:line="240" w:lineRule="auto"/>
        <w:rPr>
          <w:rFonts w:ascii="Arial" w:hAnsi="Arial" w:cs="Arial"/>
        </w:rPr>
      </w:pPr>
      <w:r>
        <w:rPr>
          <w:rFonts w:ascii="Arial" w:hAnsi="Arial" w:cs="Arial"/>
          <w:lang w:val="en-US"/>
        </w:rPr>
        <w:t xml:space="preserve">In </w:t>
      </w:r>
      <w:r w:rsidR="00A30BF1">
        <w:rPr>
          <w:rFonts w:ascii="Arial" w:hAnsi="Arial" w:cs="Arial"/>
        </w:rPr>
        <w:t xml:space="preserve">Objective 1 </w:t>
      </w:r>
      <w:r>
        <w:rPr>
          <w:rFonts w:ascii="Arial" w:hAnsi="Arial" w:cs="Arial"/>
        </w:rPr>
        <w:t xml:space="preserve">the </w:t>
      </w:r>
      <w:r w:rsidR="00A30BF1">
        <w:rPr>
          <w:rFonts w:ascii="Arial" w:hAnsi="Arial" w:cs="Arial"/>
          <w:i/>
          <w:iCs/>
        </w:rPr>
        <w:t xml:space="preserve">P. vivax </w:t>
      </w:r>
      <w:r w:rsidR="00A30BF1">
        <w:rPr>
          <w:rFonts w:ascii="Arial" w:hAnsi="Arial" w:cs="Arial"/>
        </w:rPr>
        <w:t xml:space="preserve">parasitaemia threshold that would capture </w:t>
      </w:r>
      <w:r w:rsidR="00267A77">
        <w:rPr>
          <w:rFonts w:ascii="Arial" w:hAnsi="Arial" w:cs="Arial"/>
        </w:rPr>
        <w:t>certain percentages</w:t>
      </w:r>
      <w:r w:rsidR="002E37C7">
        <w:rPr>
          <w:rFonts w:ascii="Arial" w:hAnsi="Arial" w:cs="Arial"/>
        </w:rPr>
        <w:t xml:space="preserve"> </w:t>
      </w:r>
      <w:r w:rsidR="00A30BF1">
        <w:rPr>
          <w:rFonts w:ascii="Arial" w:hAnsi="Arial" w:cs="Arial"/>
        </w:rPr>
        <w:t>of cases of symptomatic malaria</w:t>
      </w:r>
      <w:r w:rsidR="002E37C7">
        <w:rPr>
          <w:rFonts w:ascii="Arial" w:hAnsi="Arial" w:cs="Arial"/>
        </w:rPr>
        <w:t xml:space="preserve"> will be determined</w:t>
      </w:r>
      <w:r w:rsidR="00A30BF1">
        <w:rPr>
          <w:rFonts w:ascii="Arial" w:hAnsi="Arial" w:cs="Arial"/>
        </w:rPr>
        <w:t xml:space="preserve">, to </w:t>
      </w:r>
      <w:r w:rsidR="00A30BF1" w:rsidRPr="2DA06710">
        <w:rPr>
          <w:rFonts w:ascii="Arial" w:hAnsi="Arial" w:cs="Arial"/>
        </w:rPr>
        <w:t xml:space="preserve">inform </w:t>
      </w:r>
      <w:r w:rsidR="002E37C7">
        <w:rPr>
          <w:rFonts w:ascii="Arial" w:hAnsi="Arial" w:cs="Arial"/>
        </w:rPr>
        <w:t xml:space="preserve">suitable </w:t>
      </w:r>
      <w:r w:rsidR="00A30BF1" w:rsidRPr="2DA06710">
        <w:rPr>
          <w:rFonts w:ascii="Arial" w:hAnsi="Arial" w:cs="Arial"/>
        </w:rPr>
        <w:t>definitions of target thresholds for RDTs – i.e. the lowest parasite density that RDTs need to detect</w:t>
      </w:r>
      <w:r w:rsidR="00BC51F3">
        <w:rPr>
          <w:rFonts w:ascii="Arial" w:hAnsi="Arial" w:cs="Arial"/>
        </w:rPr>
        <w:t>, therefore informing RDT Target Product Profile.</w:t>
      </w:r>
    </w:p>
    <w:p w14:paraId="5BA7DC77" w14:textId="77777777" w:rsidR="00A30BF1" w:rsidRDefault="00A30BF1" w:rsidP="00A30BF1">
      <w:pPr>
        <w:spacing w:after="0" w:line="240" w:lineRule="auto"/>
        <w:rPr>
          <w:rFonts w:ascii="Arial" w:hAnsi="Arial" w:cs="Arial"/>
        </w:rPr>
      </w:pPr>
    </w:p>
    <w:p w14:paraId="6EF29C2F" w14:textId="34B834C0" w:rsidR="002E37C7" w:rsidRDefault="002E37C7" w:rsidP="00157EE5">
      <w:pPr>
        <w:spacing w:after="0" w:line="240" w:lineRule="auto"/>
        <w:rPr>
          <w:rFonts w:ascii="Arial" w:hAnsi="Arial" w:cs="Arial"/>
          <w:lang w:val="en-US"/>
        </w:rPr>
      </w:pPr>
      <w:r>
        <w:rPr>
          <w:rFonts w:ascii="Arial" w:hAnsi="Arial" w:cs="Arial"/>
        </w:rPr>
        <w:t xml:space="preserve">In </w:t>
      </w:r>
      <w:r w:rsidR="00A30BF1">
        <w:rPr>
          <w:rFonts w:ascii="Arial" w:hAnsi="Arial" w:cs="Arial"/>
        </w:rPr>
        <w:t xml:space="preserve">Objective 2 the pyrogenic density </w:t>
      </w:r>
      <w:r>
        <w:rPr>
          <w:rFonts w:ascii="Arial" w:hAnsi="Arial" w:cs="Arial"/>
        </w:rPr>
        <w:t xml:space="preserve">of </w:t>
      </w:r>
      <w:r>
        <w:rPr>
          <w:rFonts w:ascii="Arial" w:hAnsi="Arial" w:cs="Arial"/>
          <w:i/>
          <w:iCs/>
        </w:rPr>
        <w:t xml:space="preserve">P. vivax </w:t>
      </w:r>
      <w:r w:rsidR="00C17E7E">
        <w:rPr>
          <w:rFonts w:ascii="Arial" w:hAnsi="Arial" w:cs="Arial"/>
        </w:rPr>
        <w:t xml:space="preserve">in </w:t>
      </w:r>
      <w:r w:rsidR="00267A77">
        <w:rPr>
          <w:rFonts w:ascii="Arial" w:hAnsi="Arial" w:cs="Arial"/>
        </w:rPr>
        <w:t xml:space="preserve">the first </w:t>
      </w:r>
      <w:r w:rsidR="00A30BF1">
        <w:rPr>
          <w:rFonts w:ascii="Arial" w:hAnsi="Arial" w:cs="Arial"/>
        </w:rPr>
        <w:t xml:space="preserve">recurrent infection </w:t>
      </w:r>
      <w:r>
        <w:rPr>
          <w:rFonts w:ascii="Arial" w:hAnsi="Arial" w:cs="Arial"/>
        </w:rPr>
        <w:t xml:space="preserve">will be determined and </w:t>
      </w:r>
      <w:r w:rsidR="00267A77">
        <w:rPr>
          <w:rFonts w:ascii="Arial" w:hAnsi="Arial" w:cs="Arial"/>
        </w:rPr>
        <w:t>its</w:t>
      </w:r>
      <w:r w:rsidR="00A30BF1">
        <w:rPr>
          <w:rFonts w:ascii="Arial" w:hAnsi="Arial" w:cs="Arial"/>
        </w:rPr>
        <w:t xml:space="preserve"> vari</w:t>
      </w:r>
      <w:r w:rsidR="00267A77">
        <w:rPr>
          <w:rFonts w:ascii="Arial" w:hAnsi="Arial" w:cs="Arial"/>
        </w:rPr>
        <w:t>ation</w:t>
      </w:r>
      <w:r w:rsidR="00A30BF1">
        <w:rPr>
          <w:rFonts w:ascii="Arial" w:hAnsi="Arial" w:cs="Arial"/>
        </w:rPr>
        <w:t xml:space="preserve"> with age</w:t>
      </w:r>
      <w:r>
        <w:rPr>
          <w:rFonts w:ascii="Arial" w:hAnsi="Arial" w:cs="Arial"/>
        </w:rPr>
        <w:t xml:space="preserve"> and </w:t>
      </w:r>
      <w:r w:rsidR="00A30BF1">
        <w:rPr>
          <w:rFonts w:ascii="Arial" w:hAnsi="Arial" w:cs="Arial"/>
        </w:rPr>
        <w:t>endemicity</w:t>
      </w:r>
      <w:r w:rsidR="00267A77">
        <w:rPr>
          <w:rFonts w:ascii="Arial" w:hAnsi="Arial" w:cs="Arial"/>
        </w:rPr>
        <w:t xml:space="preserve"> explored</w:t>
      </w:r>
      <w:r>
        <w:rPr>
          <w:rFonts w:ascii="Arial" w:hAnsi="Arial" w:cs="Arial"/>
        </w:rPr>
        <w:t>. In addition</w:t>
      </w:r>
      <w:r w:rsidR="00AC0729">
        <w:rPr>
          <w:rFonts w:ascii="Arial" w:hAnsi="Arial" w:cs="Arial"/>
        </w:rPr>
        <w:t>,</w:t>
      </w:r>
      <w:r>
        <w:rPr>
          <w:rFonts w:ascii="Arial" w:hAnsi="Arial" w:cs="Arial"/>
        </w:rPr>
        <w:t xml:space="preserve"> o</w:t>
      </w:r>
      <w:r w:rsidR="000E74DD">
        <w:rPr>
          <w:rFonts w:ascii="Arial" w:hAnsi="Arial" w:cs="Arial"/>
        </w:rPr>
        <w:t xml:space="preserve">ther </w:t>
      </w:r>
      <w:r w:rsidR="00A30BF1">
        <w:rPr>
          <w:rFonts w:ascii="Arial" w:hAnsi="Arial" w:cs="Arial"/>
        </w:rPr>
        <w:t>key determinants of fever at recurrence will</w:t>
      </w:r>
      <w:r w:rsidR="000E74DD">
        <w:rPr>
          <w:rFonts w:ascii="Arial" w:hAnsi="Arial" w:cs="Arial"/>
        </w:rPr>
        <w:t xml:space="preserve"> </w:t>
      </w:r>
      <w:r w:rsidR="00A30BF1">
        <w:rPr>
          <w:rFonts w:ascii="Arial" w:hAnsi="Arial" w:cs="Arial"/>
        </w:rPr>
        <w:t>be identified.</w:t>
      </w:r>
      <w:r w:rsidR="000E74DD">
        <w:rPr>
          <w:rFonts w:ascii="Arial" w:hAnsi="Arial" w:cs="Arial"/>
        </w:rPr>
        <w:t xml:space="preserve"> </w:t>
      </w:r>
      <w:r w:rsidR="00157EE5" w:rsidRPr="20C717C7">
        <w:rPr>
          <w:rFonts w:ascii="Arial" w:hAnsi="Arial" w:cs="Arial"/>
          <w:lang w:val="en-US"/>
        </w:rPr>
        <w:t xml:space="preserve">Patients who experience recurrent </w:t>
      </w:r>
      <w:r w:rsidR="00157EE5" w:rsidRPr="20C717C7">
        <w:rPr>
          <w:rFonts w:ascii="Arial" w:hAnsi="Arial" w:cs="Arial"/>
          <w:i/>
          <w:iCs/>
          <w:lang w:val="en-US"/>
        </w:rPr>
        <w:t xml:space="preserve">P. vivax </w:t>
      </w:r>
      <w:r w:rsidR="00157EE5" w:rsidRPr="20C717C7">
        <w:rPr>
          <w:rFonts w:ascii="Arial" w:hAnsi="Arial" w:cs="Arial"/>
          <w:lang w:val="en-US"/>
        </w:rPr>
        <w:t xml:space="preserve">parasitaemia during follow up in clinical trials comprise a patient population who may or may not have a fever or history of fever at the time of </w:t>
      </w:r>
      <w:r>
        <w:rPr>
          <w:rFonts w:ascii="Arial" w:hAnsi="Arial" w:cs="Arial"/>
          <w:lang w:val="en-US"/>
        </w:rPr>
        <w:t>clinical review</w:t>
      </w:r>
      <w:r w:rsidR="00157EE5" w:rsidRPr="20C717C7">
        <w:rPr>
          <w:rFonts w:ascii="Arial" w:hAnsi="Arial" w:cs="Arial"/>
          <w:lang w:val="en-US"/>
        </w:rPr>
        <w:t xml:space="preserve">. In this context it is possible to compare </w:t>
      </w:r>
      <w:r w:rsidR="000E74DD">
        <w:rPr>
          <w:rFonts w:ascii="Arial" w:hAnsi="Arial" w:cs="Arial"/>
          <w:lang w:val="en-US"/>
        </w:rPr>
        <w:t>febrile, parasitaemic patients with afebrile, parasitaemic patients</w:t>
      </w:r>
      <w:r w:rsidR="00157EE5" w:rsidRPr="20C717C7">
        <w:rPr>
          <w:rFonts w:ascii="Arial" w:hAnsi="Arial" w:cs="Arial"/>
          <w:lang w:val="en-US"/>
        </w:rPr>
        <w:t xml:space="preserve"> </w:t>
      </w:r>
      <w:r w:rsidR="000E74DD">
        <w:rPr>
          <w:rFonts w:ascii="Arial" w:hAnsi="Arial" w:cs="Arial"/>
          <w:lang w:val="en-US"/>
        </w:rPr>
        <w:t xml:space="preserve">to estimate </w:t>
      </w:r>
      <w:r w:rsidR="00157EE5" w:rsidRPr="20C717C7">
        <w:rPr>
          <w:rFonts w:ascii="Arial" w:hAnsi="Arial" w:cs="Arial"/>
          <w:lang w:val="en-US"/>
        </w:rPr>
        <w:t xml:space="preserve">the </w:t>
      </w:r>
      <w:r w:rsidR="00157EE5" w:rsidRPr="20C717C7">
        <w:rPr>
          <w:rFonts w:ascii="Arial" w:hAnsi="Arial" w:cs="Arial"/>
          <w:i/>
          <w:iCs/>
          <w:lang w:val="en-US"/>
        </w:rPr>
        <w:t xml:space="preserve">P. vivax </w:t>
      </w:r>
      <w:r w:rsidR="00157EE5" w:rsidRPr="20C717C7">
        <w:rPr>
          <w:rFonts w:ascii="Arial" w:hAnsi="Arial" w:cs="Arial"/>
          <w:lang w:val="en-US"/>
        </w:rPr>
        <w:t xml:space="preserve">pyrogenic threshold, in contrast to </w:t>
      </w:r>
      <w:r>
        <w:rPr>
          <w:rFonts w:ascii="Arial" w:hAnsi="Arial" w:cs="Arial"/>
          <w:lang w:val="en-US"/>
        </w:rPr>
        <w:t xml:space="preserve">the initial presentation and </w:t>
      </w:r>
      <w:r w:rsidR="00157EE5" w:rsidRPr="20C717C7">
        <w:rPr>
          <w:rFonts w:ascii="Arial" w:hAnsi="Arial" w:cs="Arial"/>
          <w:lang w:val="en-US"/>
        </w:rPr>
        <w:lastRenderedPageBreak/>
        <w:t xml:space="preserve">enrolment </w:t>
      </w:r>
      <w:r>
        <w:rPr>
          <w:rFonts w:ascii="Arial" w:hAnsi="Arial" w:cs="Arial"/>
          <w:lang w:val="en-US"/>
        </w:rPr>
        <w:t xml:space="preserve">into the trial during which </w:t>
      </w:r>
      <w:r w:rsidR="00E00C2A">
        <w:rPr>
          <w:rFonts w:ascii="Arial" w:hAnsi="Arial" w:cs="Arial"/>
          <w:lang w:val="en-US"/>
        </w:rPr>
        <w:t>the vast majority of</w:t>
      </w:r>
      <w:r w:rsidR="00157EE5" w:rsidRPr="20C717C7">
        <w:rPr>
          <w:rFonts w:ascii="Arial" w:hAnsi="Arial" w:cs="Arial"/>
          <w:lang w:val="en-US"/>
        </w:rPr>
        <w:t xml:space="preserve"> patients will have experienced fever or other symptoms of </w:t>
      </w:r>
      <w:r>
        <w:rPr>
          <w:rFonts w:ascii="Arial" w:hAnsi="Arial" w:cs="Arial"/>
          <w:lang w:val="en-US"/>
        </w:rPr>
        <w:t>malaria</w:t>
      </w:r>
      <w:r w:rsidR="00157EE5" w:rsidRPr="20C717C7">
        <w:rPr>
          <w:rFonts w:ascii="Arial" w:hAnsi="Arial" w:cs="Arial"/>
          <w:lang w:val="en-US"/>
        </w:rPr>
        <w:t>.</w:t>
      </w:r>
    </w:p>
    <w:p w14:paraId="0D5A1967" w14:textId="77777777" w:rsidR="00BC51F3" w:rsidRDefault="00BC51F3" w:rsidP="00157EE5">
      <w:pPr>
        <w:spacing w:after="0" w:line="240" w:lineRule="auto"/>
        <w:rPr>
          <w:rFonts w:ascii="Arial" w:hAnsi="Arial" w:cs="Arial"/>
          <w:lang w:val="en-US"/>
        </w:rPr>
      </w:pPr>
    </w:p>
    <w:p w14:paraId="6560C915" w14:textId="19DF17FB" w:rsidR="00F97762" w:rsidRPr="00BC51F3" w:rsidRDefault="002E37C7" w:rsidP="00BC51F3">
      <w:pPr>
        <w:spacing w:after="0" w:line="240" w:lineRule="auto"/>
        <w:rPr>
          <w:rFonts w:ascii="Arial" w:hAnsi="Arial" w:cs="Arial"/>
        </w:rPr>
      </w:pPr>
      <w:r>
        <w:rPr>
          <w:rFonts w:ascii="Arial" w:hAnsi="Arial" w:cs="Arial"/>
          <w:lang w:val="en-US"/>
        </w:rPr>
        <w:t>Since t</w:t>
      </w:r>
      <w:r w:rsidR="00157EE5" w:rsidRPr="20C717C7">
        <w:rPr>
          <w:rFonts w:ascii="Arial" w:hAnsi="Arial" w:cs="Arial"/>
          <w:lang w:val="en-US"/>
        </w:rPr>
        <w:t xml:space="preserve">he majority of </w:t>
      </w:r>
      <w:r w:rsidR="00157EE5" w:rsidRPr="20C717C7">
        <w:rPr>
          <w:rFonts w:ascii="Arial" w:hAnsi="Arial" w:cs="Arial"/>
          <w:i/>
          <w:iCs/>
          <w:lang w:val="en-US"/>
        </w:rPr>
        <w:t xml:space="preserve">P. vivax </w:t>
      </w:r>
      <w:r w:rsidR="00157EE5" w:rsidRPr="20C717C7">
        <w:rPr>
          <w:rFonts w:ascii="Arial" w:hAnsi="Arial" w:cs="Arial"/>
          <w:lang w:val="en-US"/>
        </w:rPr>
        <w:t>malaria and transmission occur as a result of recurrences</w:t>
      </w:r>
      <w:r w:rsidR="00661195">
        <w:rPr>
          <w:rFonts w:ascii="Arial" w:hAnsi="Arial" w:cs="Arial"/>
          <w:vertAlign w:val="superscript"/>
          <w:lang w:val="en-US"/>
        </w:rPr>
        <w:t>7</w:t>
      </w:r>
      <w:r>
        <w:rPr>
          <w:rFonts w:ascii="Arial" w:hAnsi="Arial" w:cs="Arial"/>
          <w:lang w:val="en-US"/>
        </w:rPr>
        <w:t>, the a</w:t>
      </w:r>
      <w:r w:rsidR="00157EE5" w:rsidRPr="20C717C7">
        <w:rPr>
          <w:rFonts w:ascii="Arial" w:hAnsi="Arial" w:cs="Arial"/>
          <w:lang w:val="en-US"/>
        </w:rPr>
        <w:t xml:space="preserve">nalysis of recurrent episodes will </w:t>
      </w:r>
      <w:r>
        <w:rPr>
          <w:rFonts w:ascii="Arial" w:hAnsi="Arial" w:cs="Arial"/>
          <w:lang w:val="en-US"/>
        </w:rPr>
        <w:t xml:space="preserve">allow </w:t>
      </w:r>
      <w:r w:rsidR="00157EE5" w:rsidRPr="20C717C7">
        <w:rPr>
          <w:rFonts w:ascii="Arial" w:hAnsi="Arial" w:cs="Arial"/>
          <w:lang w:val="en-US"/>
        </w:rPr>
        <w:t xml:space="preserve">pyrogenic density </w:t>
      </w:r>
      <w:r>
        <w:rPr>
          <w:rFonts w:ascii="Arial" w:hAnsi="Arial" w:cs="Arial"/>
          <w:lang w:val="en-US"/>
        </w:rPr>
        <w:t xml:space="preserve">to be </w:t>
      </w:r>
      <w:r w:rsidR="00157EE5" w:rsidRPr="20C717C7">
        <w:rPr>
          <w:rFonts w:ascii="Arial" w:hAnsi="Arial" w:cs="Arial"/>
          <w:lang w:val="en-US"/>
        </w:rPr>
        <w:t>estimate</w:t>
      </w:r>
      <w:r>
        <w:rPr>
          <w:rFonts w:ascii="Arial" w:hAnsi="Arial" w:cs="Arial"/>
          <w:lang w:val="en-US"/>
        </w:rPr>
        <w:t>d</w:t>
      </w:r>
      <w:r w:rsidR="00157EE5" w:rsidRPr="20C717C7">
        <w:rPr>
          <w:rFonts w:ascii="Arial" w:hAnsi="Arial" w:cs="Arial"/>
          <w:lang w:val="en-US"/>
        </w:rPr>
        <w:t xml:space="preserve"> and provide an opportunity to </w:t>
      </w:r>
      <w:r>
        <w:rPr>
          <w:rFonts w:ascii="Arial" w:hAnsi="Arial" w:cs="Arial"/>
          <w:lang w:val="en-US"/>
        </w:rPr>
        <w:t xml:space="preserve">investigate </w:t>
      </w:r>
      <w:r w:rsidR="00157EE5" w:rsidRPr="20C717C7">
        <w:rPr>
          <w:rFonts w:ascii="Arial" w:hAnsi="Arial" w:cs="Arial"/>
          <w:lang w:val="en-US"/>
        </w:rPr>
        <w:t>how pyrogenic density var</w:t>
      </w:r>
      <w:r w:rsidR="00B130E4">
        <w:rPr>
          <w:rFonts w:ascii="Arial" w:hAnsi="Arial" w:cs="Arial"/>
          <w:lang w:val="en-US"/>
        </w:rPr>
        <w:t>ies</w:t>
      </w:r>
      <w:r w:rsidR="00157EE5" w:rsidRPr="20C717C7">
        <w:rPr>
          <w:rFonts w:ascii="Arial" w:hAnsi="Arial" w:cs="Arial"/>
          <w:lang w:val="en-US"/>
        </w:rPr>
        <w:t xml:space="preserve"> </w:t>
      </w:r>
      <w:r>
        <w:rPr>
          <w:rFonts w:ascii="Arial" w:hAnsi="Arial" w:cs="Arial"/>
          <w:lang w:val="en-US"/>
        </w:rPr>
        <w:t xml:space="preserve">with </w:t>
      </w:r>
      <w:r w:rsidR="00157EE5" w:rsidRPr="20C717C7">
        <w:rPr>
          <w:rFonts w:ascii="Arial" w:hAnsi="Arial" w:cs="Arial"/>
          <w:lang w:val="en-US"/>
        </w:rPr>
        <w:t>successive recurrences.</w:t>
      </w:r>
    </w:p>
    <w:p w14:paraId="3D52A114" w14:textId="77777777" w:rsidR="00BC51F3" w:rsidRPr="00004FC3" w:rsidRDefault="00BC51F3" w:rsidP="0083165D">
      <w:pPr>
        <w:spacing w:after="0"/>
        <w:rPr>
          <w:rFonts w:ascii="Arial" w:hAnsi="Arial" w:cs="Arial"/>
          <w:b/>
          <w:bCs/>
          <w:color w:val="0070C0"/>
        </w:rPr>
      </w:pPr>
    </w:p>
    <w:p w14:paraId="156122F6" w14:textId="77777777" w:rsidR="00004FC3" w:rsidRPr="00BC51F3" w:rsidRDefault="00004FC3" w:rsidP="0083165D">
      <w:pPr>
        <w:spacing w:after="0"/>
        <w:rPr>
          <w:rFonts w:ascii="Arial" w:hAnsi="Arial" w:cs="Arial"/>
          <w:b/>
          <w:bCs/>
          <w:color w:val="0070C0"/>
        </w:rPr>
      </w:pPr>
    </w:p>
    <w:p w14:paraId="11735E7B" w14:textId="16AD6750" w:rsidR="00157EE5" w:rsidRPr="002434A5" w:rsidRDefault="00157EE5" w:rsidP="0083165D">
      <w:pPr>
        <w:spacing w:after="0"/>
        <w:rPr>
          <w:rFonts w:ascii="Arial" w:hAnsi="Arial" w:cs="Arial"/>
          <w:b/>
          <w:bCs/>
          <w:color w:val="0070C0"/>
          <w:sz w:val="28"/>
          <w:szCs w:val="28"/>
        </w:rPr>
      </w:pPr>
      <w:r w:rsidRPr="002434A5">
        <w:rPr>
          <w:rFonts w:ascii="Arial" w:hAnsi="Arial" w:cs="Arial"/>
          <w:b/>
          <w:bCs/>
          <w:color w:val="0070C0"/>
          <w:sz w:val="28"/>
          <w:szCs w:val="28"/>
        </w:rPr>
        <w:t>3. Aim</w:t>
      </w:r>
      <w:r>
        <w:rPr>
          <w:rFonts w:ascii="Arial" w:hAnsi="Arial" w:cs="Arial"/>
          <w:b/>
          <w:bCs/>
          <w:color w:val="0070C0"/>
          <w:sz w:val="28"/>
          <w:szCs w:val="28"/>
        </w:rPr>
        <w:t>s</w:t>
      </w:r>
    </w:p>
    <w:p w14:paraId="11FC476A" w14:textId="77777777" w:rsidR="00157EE5" w:rsidRDefault="00157EE5" w:rsidP="00157EE5">
      <w:pPr>
        <w:spacing w:after="0" w:line="240" w:lineRule="auto"/>
        <w:rPr>
          <w:rFonts w:ascii="Arial" w:hAnsi="Arial" w:cs="Arial"/>
        </w:rPr>
      </w:pPr>
    </w:p>
    <w:p w14:paraId="164C5FDD" w14:textId="2B9F2F89" w:rsidR="00157EE5" w:rsidRPr="00092B36" w:rsidRDefault="00DE67ED" w:rsidP="00A125B4">
      <w:pPr>
        <w:pStyle w:val="ListParagraph"/>
        <w:numPr>
          <w:ilvl w:val="1"/>
          <w:numId w:val="36"/>
        </w:numPr>
        <w:spacing w:after="0" w:line="240" w:lineRule="auto"/>
        <w:rPr>
          <w:rFonts w:ascii="Arial" w:hAnsi="Arial" w:cs="Arial"/>
          <w:b/>
          <w:bCs/>
          <w:color w:val="000000" w:themeColor="text1"/>
          <w:sz w:val="28"/>
          <w:szCs w:val="28"/>
        </w:rPr>
      </w:pPr>
      <w:r w:rsidRPr="00092B36">
        <w:rPr>
          <w:rFonts w:ascii="Arial" w:hAnsi="Arial" w:cs="Arial"/>
          <w:color w:val="000000" w:themeColor="text1"/>
        </w:rPr>
        <w:t>To inform the development and evaluation of diagnostic</w:t>
      </w:r>
      <w:r w:rsidR="00A125B4" w:rsidRPr="00092B36">
        <w:rPr>
          <w:rFonts w:ascii="Arial" w:hAnsi="Arial" w:cs="Arial"/>
          <w:color w:val="000000" w:themeColor="text1"/>
        </w:rPr>
        <w:t xml:space="preserve"> tools </w:t>
      </w:r>
      <w:r w:rsidRPr="00092B36">
        <w:rPr>
          <w:rFonts w:ascii="Arial" w:hAnsi="Arial" w:cs="Arial"/>
          <w:color w:val="000000" w:themeColor="text1"/>
        </w:rPr>
        <w:t xml:space="preserve">for vivax malaria by estimating </w:t>
      </w:r>
      <w:r w:rsidR="00157EE5" w:rsidRPr="00092B36">
        <w:rPr>
          <w:rFonts w:ascii="Arial" w:hAnsi="Arial" w:cs="Arial"/>
          <w:color w:val="000000" w:themeColor="text1"/>
        </w:rPr>
        <w:t xml:space="preserve">the parasitaemia </w:t>
      </w:r>
      <w:r w:rsidR="002D2522">
        <w:rPr>
          <w:rFonts w:ascii="Arial" w:hAnsi="Arial" w:cs="Arial"/>
          <w:color w:val="000000" w:themeColor="text1"/>
        </w:rPr>
        <w:t>threshold</w:t>
      </w:r>
      <w:r w:rsidR="00DB7D8B">
        <w:rPr>
          <w:rFonts w:ascii="Arial" w:hAnsi="Arial" w:cs="Arial"/>
          <w:color w:val="000000" w:themeColor="text1"/>
        </w:rPr>
        <w:t>s</w:t>
      </w:r>
      <w:r w:rsidR="002D2522">
        <w:rPr>
          <w:rFonts w:ascii="Arial" w:hAnsi="Arial" w:cs="Arial"/>
          <w:color w:val="000000" w:themeColor="text1"/>
        </w:rPr>
        <w:t xml:space="preserve"> </w:t>
      </w:r>
      <w:r w:rsidR="00157EE5" w:rsidRPr="00092B36">
        <w:rPr>
          <w:rFonts w:ascii="Arial" w:hAnsi="Arial" w:cs="Arial"/>
          <w:color w:val="000000" w:themeColor="text1"/>
        </w:rPr>
        <w:t xml:space="preserve">which </w:t>
      </w:r>
      <w:r w:rsidR="002D2522">
        <w:rPr>
          <w:rFonts w:ascii="Arial" w:hAnsi="Arial" w:cs="Arial"/>
          <w:color w:val="000000" w:themeColor="text1"/>
        </w:rPr>
        <w:t>capture</w:t>
      </w:r>
      <w:r w:rsidR="00DB7D8B">
        <w:rPr>
          <w:rFonts w:ascii="Arial" w:hAnsi="Arial" w:cs="Arial"/>
          <w:color w:val="000000" w:themeColor="text1"/>
        </w:rPr>
        <w:t xml:space="preserve"> certain percentages</w:t>
      </w:r>
      <w:r w:rsidR="00157EE5" w:rsidRPr="00092B36">
        <w:rPr>
          <w:rFonts w:ascii="Arial" w:hAnsi="Arial" w:cs="Arial"/>
          <w:color w:val="000000" w:themeColor="text1"/>
        </w:rPr>
        <w:t xml:space="preserve"> of </w:t>
      </w:r>
      <w:r w:rsidRPr="00092B36">
        <w:rPr>
          <w:rFonts w:ascii="Arial" w:hAnsi="Arial" w:cs="Arial"/>
          <w:color w:val="000000" w:themeColor="text1"/>
        </w:rPr>
        <w:t xml:space="preserve">febrile </w:t>
      </w:r>
      <w:r w:rsidR="00157EE5" w:rsidRPr="00092B36">
        <w:rPr>
          <w:rFonts w:ascii="Arial" w:hAnsi="Arial" w:cs="Arial"/>
          <w:color w:val="000000" w:themeColor="text1"/>
        </w:rPr>
        <w:t xml:space="preserve">patients </w:t>
      </w:r>
      <w:r w:rsidR="002D2522">
        <w:rPr>
          <w:rFonts w:ascii="Arial" w:hAnsi="Arial" w:cs="Arial"/>
          <w:color w:val="000000" w:themeColor="text1"/>
        </w:rPr>
        <w:t xml:space="preserve">who </w:t>
      </w:r>
      <w:r w:rsidR="00A125B4" w:rsidRPr="00092B36">
        <w:rPr>
          <w:rFonts w:ascii="Arial" w:hAnsi="Arial" w:cs="Arial"/>
          <w:color w:val="000000" w:themeColor="text1"/>
        </w:rPr>
        <w:t>present for treatment</w:t>
      </w:r>
      <w:r w:rsidR="00157EE5" w:rsidRPr="00092B36">
        <w:rPr>
          <w:rFonts w:ascii="Arial" w:hAnsi="Arial" w:cs="Arial"/>
          <w:color w:val="000000" w:themeColor="text1"/>
        </w:rPr>
        <w:t>.</w:t>
      </w:r>
      <w:r w:rsidRPr="00092B36">
        <w:rPr>
          <w:rFonts w:ascii="Arial" w:hAnsi="Arial" w:cs="Arial"/>
          <w:color w:val="000000" w:themeColor="text1"/>
        </w:rPr>
        <w:t xml:space="preserve"> </w:t>
      </w:r>
    </w:p>
    <w:p w14:paraId="0B06572A" w14:textId="77777777" w:rsidR="00157EE5" w:rsidRPr="00092B36" w:rsidRDefault="00157EE5" w:rsidP="00157EE5">
      <w:pPr>
        <w:pStyle w:val="ListParagraph"/>
        <w:spacing w:after="0" w:line="240" w:lineRule="auto"/>
        <w:rPr>
          <w:rFonts w:ascii="Arial" w:hAnsi="Arial" w:cs="Arial"/>
          <w:b/>
          <w:bCs/>
          <w:color w:val="000000" w:themeColor="text1"/>
        </w:rPr>
      </w:pPr>
    </w:p>
    <w:p w14:paraId="3412EBF1" w14:textId="36C62009" w:rsidR="00157EE5" w:rsidRPr="00092B36" w:rsidRDefault="00DE67ED" w:rsidP="00A125B4">
      <w:pPr>
        <w:pStyle w:val="ListParagraph"/>
        <w:numPr>
          <w:ilvl w:val="1"/>
          <w:numId w:val="36"/>
        </w:numPr>
        <w:spacing w:after="0" w:line="240" w:lineRule="auto"/>
        <w:rPr>
          <w:rFonts w:ascii="Arial" w:hAnsi="Arial" w:cs="Arial"/>
          <w:b/>
          <w:bCs/>
          <w:color w:val="000000" w:themeColor="text1"/>
          <w:sz w:val="28"/>
          <w:szCs w:val="28"/>
        </w:rPr>
      </w:pPr>
      <w:r w:rsidRPr="00092B36">
        <w:rPr>
          <w:rFonts w:ascii="Arial" w:hAnsi="Arial" w:cs="Arial"/>
          <w:color w:val="000000" w:themeColor="text1"/>
        </w:rPr>
        <w:t xml:space="preserve">To </w:t>
      </w:r>
      <w:r w:rsidR="00A125B4" w:rsidRPr="00092B36">
        <w:rPr>
          <w:rFonts w:ascii="Arial" w:hAnsi="Arial" w:cs="Arial"/>
          <w:color w:val="000000" w:themeColor="text1"/>
        </w:rPr>
        <w:t xml:space="preserve">determine </w:t>
      </w:r>
      <w:r w:rsidRPr="00092B36">
        <w:rPr>
          <w:rFonts w:ascii="Arial" w:hAnsi="Arial" w:cs="Arial"/>
          <w:color w:val="000000" w:themeColor="text1"/>
        </w:rPr>
        <w:t xml:space="preserve">the </w:t>
      </w:r>
      <w:r w:rsidR="00A125B4" w:rsidRPr="00092B36">
        <w:rPr>
          <w:rFonts w:ascii="Arial" w:hAnsi="Arial" w:cs="Arial"/>
          <w:color w:val="000000" w:themeColor="text1"/>
        </w:rPr>
        <w:t xml:space="preserve">pyrogenic density of </w:t>
      </w:r>
      <w:r w:rsidRPr="00092B36">
        <w:rPr>
          <w:rFonts w:ascii="Arial" w:hAnsi="Arial" w:cs="Arial"/>
          <w:i/>
          <w:iCs/>
          <w:color w:val="000000" w:themeColor="text1"/>
        </w:rPr>
        <w:t xml:space="preserve">P. vivax </w:t>
      </w:r>
      <w:r w:rsidRPr="00092B36">
        <w:rPr>
          <w:rFonts w:ascii="Arial" w:hAnsi="Arial" w:cs="Arial"/>
          <w:color w:val="000000" w:themeColor="text1"/>
        </w:rPr>
        <w:t xml:space="preserve">parasitaemia </w:t>
      </w:r>
      <w:r w:rsidR="00157EE5" w:rsidRPr="00092B36">
        <w:rPr>
          <w:rFonts w:ascii="Arial" w:hAnsi="Arial" w:cs="Arial"/>
          <w:color w:val="000000" w:themeColor="text1"/>
        </w:rPr>
        <w:t xml:space="preserve">in </w:t>
      </w:r>
      <w:r w:rsidR="00A125B4" w:rsidRPr="00092B36">
        <w:rPr>
          <w:rFonts w:ascii="Arial" w:hAnsi="Arial" w:cs="Arial"/>
          <w:color w:val="000000" w:themeColor="text1"/>
        </w:rPr>
        <w:t xml:space="preserve">patients with </w:t>
      </w:r>
      <w:r w:rsidR="00157EE5" w:rsidRPr="00092B36">
        <w:rPr>
          <w:rFonts w:ascii="Arial" w:hAnsi="Arial" w:cs="Arial"/>
          <w:color w:val="000000" w:themeColor="text1"/>
        </w:rPr>
        <w:t>recurrent infection</w:t>
      </w:r>
      <w:r w:rsidR="00A125B4" w:rsidRPr="00092B36">
        <w:rPr>
          <w:rFonts w:ascii="Arial" w:hAnsi="Arial" w:cs="Arial"/>
          <w:color w:val="000000" w:themeColor="text1"/>
        </w:rPr>
        <w:t>,</w:t>
      </w:r>
      <w:r w:rsidR="00157EE5" w:rsidRPr="00092B36">
        <w:rPr>
          <w:rFonts w:ascii="Arial" w:hAnsi="Arial" w:cs="Arial"/>
          <w:iCs/>
          <w:color w:val="000000" w:themeColor="text1"/>
        </w:rPr>
        <w:t xml:space="preserve"> and how this varies with age</w:t>
      </w:r>
      <w:r w:rsidR="00F903F8" w:rsidRPr="00092B36">
        <w:rPr>
          <w:rFonts w:ascii="Arial" w:hAnsi="Arial" w:cs="Arial"/>
          <w:iCs/>
          <w:color w:val="000000" w:themeColor="text1"/>
        </w:rPr>
        <w:t xml:space="preserve">, </w:t>
      </w:r>
      <w:r w:rsidR="00157EE5" w:rsidRPr="00092B36">
        <w:rPr>
          <w:rFonts w:ascii="Arial" w:hAnsi="Arial" w:cs="Arial"/>
          <w:iCs/>
          <w:color w:val="000000" w:themeColor="text1"/>
        </w:rPr>
        <w:t>location</w:t>
      </w:r>
      <w:r w:rsidR="00F903F8" w:rsidRPr="00092B36">
        <w:rPr>
          <w:rFonts w:ascii="Arial" w:hAnsi="Arial" w:cs="Arial"/>
          <w:iCs/>
          <w:color w:val="000000" w:themeColor="text1"/>
        </w:rPr>
        <w:t xml:space="preserve">, and </w:t>
      </w:r>
      <w:r w:rsidR="00102214">
        <w:rPr>
          <w:rFonts w:ascii="Arial" w:hAnsi="Arial" w:cs="Arial"/>
          <w:iCs/>
          <w:color w:val="000000" w:themeColor="text1"/>
        </w:rPr>
        <w:t xml:space="preserve">first versus second </w:t>
      </w:r>
      <w:r w:rsidR="00F903F8" w:rsidRPr="00092B36">
        <w:rPr>
          <w:rFonts w:ascii="Arial" w:hAnsi="Arial" w:cs="Arial"/>
          <w:iCs/>
          <w:color w:val="000000" w:themeColor="text1"/>
        </w:rPr>
        <w:t>recurrence.</w:t>
      </w:r>
    </w:p>
    <w:p w14:paraId="54F25497" w14:textId="039DD7D1" w:rsidR="00157EE5" w:rsidRPr="00F97762" w:rsidRDefault="00157EE5" w:rsidP="00157EE5">
      <w:pPr>
        <w:spacing w:after="0" w:line="240" w:lineRule="auto"/>
        <w:rPr>
          <w:rFonts w:ascii="Arial" w:hAnsi="Arial" w:cs="Arial"/>
          <w:b/>
          <w:bCs/>
          <w:color w:val="0070C0"/>
        </w:rPr>
      </w:pPr>
    </w:p>
    <w:p w14:paraId="5CAFCD9E" w14:textId="599151B4" w:rsidR="00F97762" w:rsidRPr="00092B36" w:rsidRDefault="00A125B4" w:rsidP="00157EE5">
      <w:pPr>
        <w:spacing w:after="0" w:line="240" w:lineRule="auto"/>
        <w:rPr>
          <w:rFonts w:ascii="Arial" w:hAnsi="Arial" w:cs="Arial"/>
        </w:rPr>
      </w:pPr>
      <w:r w:rsidRPr="00092B36">
        <w:rPr>
          <w:rFonts w:ascii="Arial" w:hAnsi="Arial" w:cs="Arial"/>
        </w:rPr>
        <w:t xml:space="preserve">Aim 3.1 will be achieved by </w:t>
      </w:r>
      <w:r w:rsidR="00DB7D8B">
        <w:rPr>
          <w:rFonts w:ascii="Arial" w:hAnsi="Arial" w:cs="Arial"/>
        </w:rPr>
        <w:t>analysing</w:t>
      </w:r>
      <w:r w:rsidRPr="00092B36">
        <w:rPr>
          <w:rFonts w:ascii="Arial" w:hAnsi="Arial" w:cs="Arial"/>
        </w:rPr>
        <w:t xml:space="preserve"> </w:t>
      </w:r>
      <w:r w:rsidR="00DB7D8B">
        <w:rPr>
          <w:rFonts w:ascii="Arial" w:hAnsi="Arial" w:cs="Arial"/>
        </w:rPr>
        <w:t xml:space="preserve">febrile </w:t>
      </w:r>
      <w:r w:rsidRPr="00092B36">
        <w:rPr>
          <w:rFonts w:ascii="Arial" w:hAnsi="Arial" w:cs="Arial"/>
        </w:rPr>
        <w:t xml:space="preserve">patients at enrolment into clinical trials or subsequently presenting with </w:t>
      </w:r>
      <w:r w:rsidR="003E2180">
        <w:rPr>
          <w:rFonts w:ascii="Arial" w:hAnsi="Arial" w:cs="Arial"/>
        </w:rPr>
        <w:t>febrile</w:t>
      </w:r>
      <w:r w:rsidRPr="00092B36">
        <w:rPr>
          <w:rFonts w:ascii="Arial" w:hAnsi="Arial" w:cs="Arial"/>
        </w:rPr>
        <w:t xml:space="preserve"> recurrences. Aim 3.2 will focus on patients in clinical trials actively followed after initial treatment, re</w:t>
      </w:r>
      <w:r w:rsidR="00C13961">
        <w:rPr>
          <w:rFonts w:ascii="Arial" w:hAnsi="Arial" w:cs="Arial"/>
        </w:rPr>
        <w:t>-</w:t>
      </w:r>
      <w:r w:rsidRPr="00092B36">
        <w:rPr>
          <w:rFonts w:ascii="Arial" w:hAnsi="Arial" w:cs="Arial"/>
        </w:rPr>
        <w:t xml:space="preserve">presenting with parasitaemia </w:t>
      </w:r>
      <w:r w:rsidR="00092B36" w:rsidRPr="00092B36">
        <w:rPr>
          <w:rFonts w:ascii="Arial" w:hAnsi="Arial" w:cs="Arial"/>
        </w:rPr>
        <w:t xml:space="preserve">with and without </w:t>
      </w:r>
      <w:r w:rsidR="00332FE0">
        <w:rPr>
          <w:rFonts w:ascii="Arial" w:hAnsi="Arial" w:cs="Arial"/>
        </w:rPr>
        <w:t>fever</w:t>
      </w:r>
      <w:r w:rsidR="00092B36" w:rsidRPr="00092B36">
        <w:rPr>
          <w:rFonts w:ascii="Arial" w:hAnsi="Arial" w:cs="Arial"/>
        </w:rPr>
        <w:t>.</w:t>
      </w:r>
    </w:p>
    <w:p w14:paraId="64FE585A" w14:textId="77777777" w:rsidR="00517682" w:rsidRPr="00004FC3" w:rsidRDefault="00517682" w:rsidP="00157EE5">
      <w:pPr>
        <w:spacing w:after="0" w:line="240" w:lineRule="auto"/>
        <w:rPr>
          <w:rFonts w:ascii="Arial" w:hAnsi="Arial" w:cs="Arial"/>
          <w:b/>
          <w:bCs/>
          <w:color w:val="0070C0"/>
        </w:rPr>
      </w:pPr>
    </w:p>
    <w:p w14:paraId="3B53BE04" w14:textId="77777777" w:rsidR="00004FC3" w:rsidRPr="00BC51F3" w:rsidRDefault="00004FC3" w:rsidP="00157EE5">
      <w:pPr>
        <w:spacing w:after="0" w:line="240" w:lineRule="auto"/>
        <w:rPr>
          <w:rFonts w:ascii="Arial" w:hAnsi="Arial" w:cs="Arial"/>
          <w:b/>
          <w:bCs/>
          <w:color w:val="0070C0"/>
        </w:rPr>
      </w:pPr>
    </w:p>
    <w:p w14:paraId="6FA40F1A" w14:textId="74960BE8" w:rsidR="00157EE5" w:rsidRDefault="00157EE5" w:rsidP="00157EE5">
      <w:pPr>
        <w:spacing w:after="0" w:line="240" w:lineRule="auto"/>
        <w:rPr>
          <w:rFonts w:ascii="Arial" w:hAnsi="Arial" w:cs="Arial"/>
          <w:b/>
          <w:bCs/>
          <w:color w:val="0070C0"/>
          <w:sz w:val="28"/>
          <w:szCs w:val="28"/>
        </w:rPr>
      </w:pPr>
      <w:r w:rsidRPr="002434A5">
        <w:rPr>
          <w:rFonts w:ascii="Arial" w:hAnsi="Arial" w:cs="Arial"/>
          <w:b/>
          <w:bCs/>
          <w:color w:val="0070C0"/>
          <w:sz w:val="28"/>
          <w:szCs w:val="28"/>
        </w:rPr>
        <w:t xml:space="preserve">4. </w:t>
      </w:r>
      <w:r>
        <w:rPr>
          <w:rFonts w:ascii="Arial" w:hAnsi="Arial" w:cs="Arial"/>
          <w:b/>
          <w:bCs/>
          <w:color w:val="0070C0"/>
          <w:sz w:val="28"/>
          <w:szCs w:val="28"/>
        </w:rPr>
        <w:t>Study Identification and Data Pooling</w:t>
      </w:r>
    </w:p>
    <w:p w14:paraId="03E44804" w14:textId="77777777" w:rsidR="00157EE5" w:rsidRDefault="00157EE5" w:rsidP="00157EE5">
      <w:pPr>
        <w:spacing w:after="0" w:line="240" w:lineRule="auto"/>
        <w:rPr>
          <w:rFonts w:ascii="Arial" w:hAnsi="Arial" w:cs="Arial"/>
          <w:color w:val="0070C0"/>
        </w:rPr>
      </w:pPr>
    </w:p>
    <w:p w14:paraId="0D1DC236" w14:textId="7141CB95" w:rsidR="005714E4" w:rsidRDefault="00157EE5" w:rsidP="00157EE5">
      <w:pPr>
        <w:spacing w:after="0" w:line="240" w:lineRule="auto"/>
        <w:rPr>
          <w:rFonts w:ascii="Arial" w:hAnsi="Arial" w:cs="Arial"/>
        </w:rPr>
      </w:pPr>
      <w:r>
        <w:rPr>
          <w:rFonts w:ascii="Arial" w:hAnsi="Arial" w:cs="Arial"/>
        </w:rPr>
        <w:t xml:space="preserve">Prospective clinical efficacy studies of </w:t>
      </w:r>
      <w:r>
        <w:rPr>
          <w:rFonts w:ascii="Arial" w:hAnsi="Arial" w:cs="Arial"/>
          <w:i/>
          <w:iCs/>
        </w:rPr>
        <w:t xml:space="preserve">P. vivax </w:t>
      </w:r>
      <w:r>
        <w:rPr>
          <w:rFonts w:ascii="Arial" w:hAnsi="Arial" w:cs="Arial"/>
        </w:rPr>
        <w:t>mono</w:t>
      </w:r>
      <w:r w:rsidR="009F1192">
        <w:rPr>
          <w:rFonts w:ascii="Arial" w:hAnsi="Arial" w:cs="Arial"/>
        </w:rPr>
        <w:t>-</w:t>
      </w:r>
      <w:r>
        <w:rPr>
          <w:rFonts w:ascii="Arial" w:hAnsi="Arial" w:cs="Arial"/>
        </w:rPr>
        <w:t xml:space="preserve">infection were identified from a systematic review conducted previously and updated as of </w:t>
      </w:r>
      <w:r w:rsidR="00453F63">
        <w:rPr>
          <w:rFonts w:ascii="Arial" w:hAnsi="Arial" w:cs="Arial"/>
        </w:rPr>
        <w:t>16</w:t>
      </w:r>
      <w:r w:rsidR="00453F63" w:rsidRPr="00453F63">
        <w:rPr>
          <w:rFonts w:ascii="Arial" w:hAnsi="Arial" w:cs="Arial"/>
          <w:vertAlign w:val="superscript"/>
        </w:rPr>
        <w:t>th</w:t>
      </w:r>
      <w:r w:rsidR="00453F63">
        <w:rPr>
          <w:rFonts w:ascii="Arial" w:hAnsi="Arial" w:cs="Arial"/>
        </w:rPr>
        <w:t xml:space="preserve"> February 2021</w:t>
      </w:r>
      <w:r w:rsidR="00661195">
        <w:rPr>
          <w:rFonts w:ascii="Arial" w:hAnsi="Arial" w:cs="Arial"/>
          <w:vertAlign w:val="superscript"/>
        </w:rPr>
        <w:t>8</w:t>
      </w:r>
      <w:r>
        <w:rPr>
          <w:rFonts w:ascii="Arial" w:hAnsi="Arial" w:cs="Arial"/>
        </w:rPr>
        <w:t xml:space="preserve">. </w:t>
      </w:r>
      <w:r w:rsidR="005714E4">
        <w:rPr>
          <w:rFonts w:ascii="Arial" w:hAnsi="Arial" w:cs="Arial"/>
        </w:rPr>
        <w:t>The inclusion and exclusion criteria of this systematic review are listed below:</w:t>
      </w:r>
    </w:p>
    <w:p w14:paraId="083553F7" w14:textId="77777777" w:rsidR="005714E4" w:rsidRDefault="005714E4" w:rsidP="00157EE5">
      <w:pPr>
        <w:spacing w:after="0" w:line="240" w:lineRule="auto"/>
        <w:rPr>
          <w:rFonts w:ascii="Arial" w:hAnsi="Arial" w:cs="Arial"/>
        </w:rPr>
      </w:pPr>
    </w:p>
    <w:p w14:paraId="0772F104" w14:textId="5A35CC49" w:rsidR="005714E4" w:rsidRPr="00DE0E23" w:rsidRDefault="005714E4" w:rsidP="005714E4">
      <w:pPr>
        <w:pStyle w:val="CommentText"/>
        <w:spacing w:after="0"/>
        <w:rPr>
          <w:rFonts w:ascii="Arial" w:hAnsi="Arial" w:cs="Arial"/>
          <w:b/>
          <w:bCs/>
          <w:color w:val="2E74B5" w:themeColor="accent5" w:themeShade="BF"/>
          <w:sz w:val="22"/>
          <w:szCs w:val="22"/>
        </w:rPr>
      </w:pPr>
      <w:r w:rsidRPr="00DE0E23">
        <w:rPr>
          <w:rFonts w:ascii="Arial" w:hAnsi="Arial" w:cs="Arial"/>
          <w:b/>
          <w:bCs/>
          <w:color w:val="2E74B5" w:themeColor="accent5" w:themeShade="BF"/>
          <w:sz w:val="22"/>
          <w:szCs w:val="22"/>
        </w:rPr>
        <w:t>Inclusion criteria:</w:t>
      </w:r>
    </w:p>
    <w:p w14:paraId="5F94E82A" w14:textId="37C8EB70" w:rsidR="005714E4" w:rsidRPr="007171E9" w:rsidRDefault="007171E9" w:rsidP="007171E9">
      <w:pPr>
        <w:pStyle w:val="CommentText"/>
        <w:numPr>
          <w:ilvl w:val="0"/>
          <w:numId w:val="26"/>
        </w:numPr>
        <w:spacing w:after="0"/>
        <w:rPr>
          <w:rFonts w:ascii="Arial" w:hAnsi="Arial" w:cs="Arial"/>
          <w:sz w:val="22"/>
          <w:szCs w:val="22"/>
        </w:rPr>
      </w:pPr>
      <w:r w:rsidRPr="007171E9">
        <w:rPr>
          <w:rFonts w:ascii="Arial" w:hAnsi="Arial" w:cs="Arial"/>
          <w:sz w:val="22"/>
          <w:szCs w:val="22"/>
        </w:rPr>
        <w:t xml:space="preserve">Prospective clinical efficacy studies of uncomplicated </w:t>
      </w:r>
      <w:r w:rsidRPr="007171E9">
        <w:rPr>
          <w:rFonts w:ascii="Arial" w:hAnsi="Arial" w:cs="Arial"/>
          <w:i/>
          <w:iCs/>
          <w:sz w:val="22"/>
          <w:szCs w:val="22"/>
        </w:rPr>
        <w:t xml:space="preserve">P. vivax </w:t>
      </w:r>
      <w:r w:rsidRPr="007171E9">
        <w:rPr>
          <w:rFonts w:ascii="Arial" w:hAnsi="Arial" w:cs="Arial"/>
          <w:sz w:val="22"/>
          <w:szCs w:val="22"/>
        </w:rPr>
        <w:t>mono</w:t>
      </w:r>
      <w:r w:rsidR="009F1192">
        <w:rPr>
          <w:rFonts w:ascii="Arial" w:hAnsi="Arial" w:cs="Arial"/>
          <w:sz w:val="22"/>
          <w:szCs w:val="22"/>
        </w:rPr>
        <w:t>-</w:t>
      </w:r>
      <w:r w:rsidRPr="007171E9">
        <w:rPr>
          <w:rFonts w:ascii="Arial" w:hAnsi="Arial" w:cs="Arial"/>
          <w:sz w:val="22"/>
          <w:szCs w:val="22"/>
        </w:rPr>
        <w:t>infection</w:t>
      </w:r>
      <w:r>
        <w:rPr>
          <w:rFonts w:ascii="Arial" w:hAnsi="Arial" w:cs="Arial"/>
          <w:sz w:val="22"/>
          <w:szCs w:val="22"/>
        </w:rPr>
        <w:t xml:space="preserve"> with a minimum </w:t>
      </w:r>
      <w:r w:rsidR="005714E4" w:rsidRPr="007171E9">
        <w:rPr>
          <w:rFonts w:ascii="Arial" w:hAnsi="Arial" w:cs="Arial"/>
          <w:sz w:val="22"/>
          <w:szCs w:val="22"/>
        </w:rPr>
        <w:t>of 28 days follow up</w:t>
      </w:r>
    </w:p>
    <w:p w14:paraId="5D6CF5F7" w14:textId="407D1F2B" w:rsidR="005714E4" w:rsidRPr="005714E4" w:rsidRDefault="005714E4" w:rsidP="005714E4">
      <w:pPr>
        <w:pStyle w:val="CommentText"/>
        <w:numPr>
          <w:ilvl w:val="0"/>
          <w:numId w:val="26"/>
        </w:numPr>
        <w:spacing w:after="0"/>
        <w:rPr>
          <w:rFonts w:ascii="Arial" w:hAnsi="Arial" w:cs="Arial"/>
          <w:sz w:val="22"/>
          <w:szCs w:val="22"/>
        </w:rPr>
      </w:pPr>
      <w:r>
        <w:rPr>
          <w:rFonts w:ascii="Arial" w:hAnsi="Arial" w:cs="Arial"/>
          <w:sz w:val="22"/>
          <w:szCs w:val="22"/>
        </w:rPr>
        <w:t>Published between January 1</w:t>
      </w:r>
      <w:r w:rsidRPr="00A21680">
        <w:rPr>
          <w:rFonts w:ascii="Arial" w:hAnsi="Arial" w:cs="Arial"/>
          <w:sz w:val="22"/>
          <w:szCs w:val="22"/>
          <w:vertAlign w:val="superscript"/>
        </w:rPr>
        <w:t>st</w:t>
      </w:r>
      <w:r>
        <w:rPr>
          <w:rFonts w:ascii="Arial" w:hAnsi="Arial" w:cs="Arial"/>
          <w:sz w:val="22"/>
          <w:szCs w:val="22"/>
        </w:rPr>
        <w:t xml:space="preserve"> </w:t>
      </w:r>
      <w:r w:rsidRPr="00453F63">
        <w:rPr>
          <w:rFonts w:ascii="Arial" w:hAnsi="Arial" w:cs="Arial"/>
          <w:sz w:val="22"/>
          <w:szCs w:val="22"/>
        </w:rPr>
        <w:t xml:space="preserve">2000 and </w:t>
      </w:r>
      <w:r w:rsidR="00453F63" w:rsidRPr="00453F63">
        <w:rPr>
          <w:rFonts w:ascii="Arial" w:hAnsi="Arial" w:cs="Arial"/>
          <w:sz w:val="22"/>
          <w:szCs w:val="22"/>
        </w:rPr>
        <w:t>16</w:t>
      </w:r>
      <w:r w:rsidR="00453F63" w:rsidRPr="00453F63">
        <w:rPr>
          <w:rFonts w:ascii="Arial" w:hAnsi="Arial" w:cs="Arial"/>
          <w:sz w:val="22"/>
          <w:szCs w:val="22"/>
          <w:vertAlign w:val="superscript"/>
        </w:rPr>
        <w:t>th</w:t>
      </w:r>
      <w:r w:rsidR="00453F63" w:rsidRPr="00453F63">
        <w:rPr>
          <w:rFonts w:ascii="Arial" w:hAnsi="Arial" w:cs="Arial"/>
          <w:sz w:val="22"/>
          <w:szCs w:val="22"/>
        </w:rPr>
        <w:t xml:space="preserve"> February 2021</w:t>
      </w:r>
    </w:p>
    <w:p w14:paraId="3824F3DA" w14:textId="77777777" w:rsidR="005714E4" w:rsidRDefault="005714E4" w:rsidP="005714E4">
      <w:pPr>
        <w:pStyle w:val="CommentText"/>
        <w:spacing w:after="0"/>
        <w:rPr>
          <w:rFonts w:ascii="Arial" w:hAnsi="Arial" w:cs="Arial"/>
          <w:sz w:val="22"/>
          <w:szCs w:val="22"/>
        </w:rPr>
      </w:pPr>
    </w:p>
    <w:p w14:paraId="7CABB3FB" w14:textId="77777777" w:rsidR="005714E4" w:rsidRPr="00DE0E23" w:rsidRDefault="005714E4" w:rsidP="005714E4">
      <w:pPr>
        <w:pStyle w:val="CommentText"/>
        <w:spacing w:after="0"/>
        <w:rPr>
          <w:rFonts w:ascii="Arial" w:hAnsi="Arial" w:cs="Arial"/>
          <w:b/>
          <w:bCs/>
          <w:color w:val="2E74B5" w:themeColor="accent5" w:themeShade="BF"/>
          <w:sz w:val="22"/>
          <w:szCs w:val="22"/>
        </w:rPr>
      </w:pPr>
      <w:r w:rsidRPr="00DE0E23">
        <w:rPr>
          <w:rFonts w:ascii="Arial" w:hAnsi="Arial" w:cs="Arial"/>
          <w:b/>
          <w:bCs/>
          <w:color w:val="2E74B5" w:themeColor="accent5" w:themeShade="BF"/>
          <w:sz w:val="22"/>
          <w:szCs w:val="22"/>
        </w:rPr>
        <w:t>Exclusion criteria:</w:t>
      </w:r>
    </w:p>
    <w:p w14:paraId="62249074" w14:textId="77777777" w:rsidR="005714E4" w:rsidRDefault="005714E4" w:rsidP="005714E4">
      <w:pPr>
        <w:pStyle w:val="CommentText"/>
        <w:numPr>
          <w:ilvl w:val="0"/>
          <w:numId w:val="27"/>
        </w:numPr>
        <w:spacing w:after="0"/>
        <w:rPr>
          <w:rFonts w:ascii="Arial" w:hAnsi="Arial" w:cs="Arial"/>
          <w:sz w:val="22"/>
          <w:szCs w:val="22"/>
        </w:rPr>
      </w:pPr>
      <w:r>
        <w:rPr>
          <w:rFonts w:ascii="Arial" w:hAnsi="Arial" w:cs="Arial"/>
          <w:sz w:val="22"/>
          <w:szCs w:val="22"/>
        </w:rPr>
        <w:t>Studies on prevention or prophylaxis</w:t>
      </w:r>
    </w:p>
    <w:p w14:paraId="2FC69E1D" w14:textId="77777777" w:rsidR="005714E4" w:rsidRDefault="005714E4" w:rsidP="005714E4">
      <w:pPr>
        <w:pStyle w:val="CommentText"/>
        <w:numPr>
          <w:ilvl w:val="0"/>
          <w:numId w:val="27"/>
        </w:numPr>
        <w:spacing w:after="0"/>
        <w:rPr>
          <w:rFonts w:ascii="Arial" w:hAnsi="Arial" w:cs="Arial"/>
          <w:sz w:val="22"/>
          <w:szCs w:val="22"/>
        </w:rPr>
      </w:pPr>
      <w:r>
        <w:rPr>
          <w:rFonts w:ascii="Arial" w:hAnsi="Arial" w:cs="Arial"/>
          <w:sz w:val="22"/>
          <w:szCs w:val="22"/>
        </w:rPr>
        <w:t>Reviews</w:t>
      </w:r>
    </w:p>
    <w:p w14:paraId="71AC8E8E" w14:textId="77777777" w:rsidR="005714E4" w:rsidRDefault="005714E4" w:rsidP="005714E4">
      <w:pPr>
        <w:pStyle w:val="CommentText"/>
        <w:numPr>
          <w:ilvl w:val="0"/>
          <w:numId w:val="27"/>
        </w:numPr>
        <w:spacing w:after="0"/>
        <w:rPr>
          <w:rFonts w:ascii="Arial" w:hAnsi="Arial" w:cs="Arial"/>
          <w:sz w:val="22"/>
          <w:szCs w:val="22"/>
        </w:rPr>
      </w:pPr>
      <w:r>
        <w:rPr>
          <w:rFonts w:ascii="Arial" w:hAnsi="Arial" w:cs="Arial"/>
          <w:sz w:val="22"/>
          <w:szCs w:val="22"/>
        </w:rPr>
        <w:t>Animal studies</w:t>
      </w:r>
    </w:p>
    <w:p w14:paraId="03E5DD7E" w14:textId="5DFA275C" w:rsidR="005714E4" w:rsidRDefault="005714E4" w:rsidP="005714E4">
      <w:pPr>
        <w:pStyle w:val="CommentText"/>
        <w:numPr>
          <w:ilvl w:val="0"/>
          <w:numId w:val="27"/>
        </w:numPr>
        <w:spacing w:after="0"/>
        <w:rPr>
          <w:rFonts w:ascii="Arial" w:hAnsi="Arial" w:cs="Arial"/>
          <w:sz w:val="22"/>
          <w:szCs w:val="22"/>
        </w:rPr>
      </w:pPr>
      <w:r>
        <w:rPr>
          <w:rFonts w:ascii="Arial" w:hAnsi="Arial" w:cs="Arial"/>
          <w:sz w:val="22"/>
          <w:szCs w:val="22"/>
        </w:rPr>
        <w:t>Patients with severe malaria</w:t>
      </w:r>
    </w:p>
    <w:p w14:paraId="2151E3E0" w14:textId="0F62A303" w:rsidR="00073755" w:rsidRPr="00073755" w:rsidRDefault="00073755" w:rsidP="00157EE5">
      <w:pPr>
        <w:pStyle w:val="CommentText"/>
        <w:numPr>
          <w:ilvl w:val="0"/>
          <w:numId w:val="27"/>
        </w:numPr>
        <w:spacing w:after="0"/>
        <w:rPr>
          <w:rFonts w:ascii="Arial" w:hAnsi="Arial" w:cs="Arial"/>
          <w:sz w:val="22"/>
          <w:szCs w:val="22"/>
        </w:rPr>
      </w:pPr>
      <w:r>
        <w:rPr>
          <w:rFonts w:ascii="Arial" w:eastAsia="Times New Roman" w:hAnsi="Arial" w:cs="Arial"/>
          <w:color w:val="000000"/>
          <w:sz w:val="22"/>
          <w:szCs w:val="22"/>
        </w:rPr>
        <w:t>F</w:t>
      </w:r>
      <w:r w:rsidRPr="00073755">
        <w:rPr>
          <w:rFonts w:ascii="Arial" w:eastAsia="Times New Roman" w:hAnsi="Arial" w:cs="Arial"/>
          <w:color w:val="000000"/>
          <w:sz w:val="22"/>
          <w:szCs w:val="22"/>
        </w:rPr>
        <w:t>irst dose of schizontocidal treatment per day unsupervised</w:t>
      </w:r>
    </w:p>
    <w:p w14:paraId="4BD5BBA5" w14:textId="354B358B" w:rsidR="00607FED" w:rsidRPr="00607FED" w:rsidRDefault="005714E4" w:rsidP="00157EE5">
      <w:pPr>
        <w:pStyle w:val="CommentText"/>
        <w:numPr>
          <w:ilvl w:val="0"/>
          <w:numId w:val="27"/>
        </w:numPr>
        <w:spacing w:after="0"/>
        <w:rPr>
          <w:rFonts w:ascii="Arial" w:hAnsi="Arial" w:cs="Arial"/>
          <w:sz w:val="22"/>
          <w:szCs w:val="22"/>
        </w:rPr>
      </w:pPr>
      <w:r w:rsidRPr="00607FED">
        <w:rPr>
          <w:rFonts w:ascii="Arial" w:hAnsi="Arial" w:cs="Arial"/>
          <w:sz w:val="22"/>
          <w:szCs w:val="22"/>
        </w:rPr>
        <w:t>Data extracted retrospectively from medical records</w:t>
      </w:r>
    </w:p>
    <w:p w14:paraId="3A82205F" w14:textId="5F1F38DF" w:rsidR="005714E4" w:rsidRPr="00607FED" w:rsidRDefault="005714E4" w:rsidP="00157EE5">
      <w:pPr>
        <w:pStyle w:val="CommentText"/>
        <w:numPr>
          <w:ilvl w:val="0"/>
          <w:numId w:val="27"/>
        </w:numPr>
        <w:spacing w:after="0"/>
        <w:rPr>
          <w:rFonts w:ascii="Arial" w:hAnsi="Arial" w:cs="Arial"/>
          <w:sz w:val="22"/>
          <w:szCs w:val="22"/>
        </w:rPr>
      </w:pPr>
      <w:r w:rsidRPr="00607FED">
        <w:rPr>
          <w:rFonts w:ascii="Arial" w:hAnsi="Arial" w:cs="Arial"/>
          <w:sz w:val="22"/>
          <w:szCs w:val="22"/>
        </w:rPr>
        <w:t>Studies of pregnant women</w:t>
      </w:r>
    </w:p>
    <w:p w14:paraId="690BA719" w14:textId="77777777" w:rsidR="00607FED" w:rsidRDefault="00607FED" w:rsidP="00157EE5">
      <w:pPr>
        <w:spacing w:after="0" w:line="240" w:lineRule="auto"/>
        <w:rPr>
          <w:rFonts w:ascii="Arial" w:hAnsi="Arial" w:cs="Arial"/>
        </w:rPr>
      </w:pPr>
    </w:p>
    <w:p w14:paraId="1050DC47" w14:textId="618C93B6" w:rsidR="005714E4" w:rsidRDefault="005714E4" w:rsidP="00157EE5">
      <w:pPr>
        <w:spacing w:after="0" w:line="240" w:lineRule="auto"/>
        <w:rPr>
          <w:rFonts w:ascii="Arial" w:hAnsi="Arial" w:cs="Arial"/>
        </w:rPr>
      </w:pPr>
      <w:r>
        <w:rPr>
          <w:rFonts w:ascii="Arial" w:hAnsi="Arial" w:cs="Arial"/>
        </w:rPr>
        <w:t>The essential inclusion criteria for th</w:t>
      </w:r>
      <w:r w:rsidR="009954FC">
        <w:rPr>
          <w:rFonts w:ascii="Arial" w:hAnsi="Arial" w:cs="Arial"/>
        </w:rPr>
        <w:t xml:space="preserve">e current </w:t>
      </w:r>
      <w:r>
        <w:rPr>
          <w:rFonts w:ascii="Arial" w:hAnsi="Arial" w:cs="Arial"/>
        </w:rPr>
        <w:t xml:space="preserve">study (see </w:t>
      </w:r>
      <w:r w:rsidRPr="00EF46AB">
        <w:rPr>
          <w:rFonts w:ascii="Arial" w:hAnsi="Arial" w:cs="Arial"/>
          <w:color w:val="2E74B5" w:themeColor="accent5" w:themeShade="BF"/>
        </w:rPr>
        <w:t>Section 5: Study Enrolment</w:t>
      </w:r>
      <w:r>
        <w:rPr>
          <w:rFonts w:ascii="Arial" w:hAnsi="Arial" w:cs="Arial"/>
        </w:rPr>
        <w:t>) were then applied to identify all studies</w:t>
      </w:r>
      <w:r w:rsidR="00DD3840">
        <w:rPr>
          <w:rFonts w:ascii="Arial" w:hAnsi="Arial" w:cs="Arial"/>
        </w:rPr>
        <w:t xml:space="preserve"> suitable</w:t>
      </w:r>
      <w:r w:rsidR="00EF171D">
        <w:rPr>
          <w:rFonts w:ascii="Arial" w:hAnsi="Arial" w:cs="Arial"/>
        </w:rPr>
        <w:t xml:space="preserve"> for inclusion in this analysis</w:t>
      </w:r>
      <w:r>
        <w:rPr>
          <w:rFonts w:ascii="Arial" w:hAnsi="Arial" w:cs="Arial"/>
        </w:rPr>
        <w:t xml:space="preserve">. </w:t>
      </w:r>
      <w:r w:rsidR="00157EE5">
        <w:rPr>
          <w:rFonts w:ascii="Arial" w:hAnsi="Arial" w:cs="Arial"/>
        </w:rPr>
        <w:t xml:space="preserve">All </w:t>
      </w:r>
      <w:r w:rsidR="00C7444C">
        <w:rPr>
          <w:rFonts w:ascii="Arial" w:hAnsi="Arial" w:cs="Arial"/>
        </w:rPr>
        <w:t xml:space="preserve">identified </w:t>
      </w:r>
      <w:r w:rsidR="00157EE5">
        <w:rPr>
          <w:rFonts w:ascii="Arial" w:hAnsi="Arial" w:cs="Arial"/>
        </w:rPr>
        <w:t xml:space="preserve">studies </w:t>
      </w:r>
      <w:r w:rsidR="0099083A">
        <w:rPr>
          <w:rFonts w:ascii="Arial" w:hAnsi="Arial" w:cs="Arial"/>
        </w:rPr>
        <w:t>were</w:t>
      </w:r>
      <w:r w:rsidR="00157EE5">
        <w:rPr>
          <w:rFonts w:ascii="Arial" w:hAnsi="Arial" w:cs="Arial"/>
        </w:rPr>
        <w:t xml:space="preserve"> held in the WWARN (World</w:t>
      </w:r>
      <w:r w:rsidR="00775EEB">
        <w:rPr>
          <w:rFonts w:ascii="Arial" w:hAnsi="Arial" w:cs="Arial"/>
        </w:rPr>
        <w:t>w</w:t>
      </w:r>
      <w:r w:rsidR="00157EE5">
        <w:rPr>
          <w:rFonts w:ascii="Arial" w:hAnsi="Arial" w:cs="Arial"/>
        </w:rPr>
        <w:t xml:space="preserve">ide Anti-malarial Resistance Network) repository. A Data Access Request was granted by WWARN and investigator permission was sought and granted for each dataset included in this study. </w:t>
      </w:r>
      <w:r w:rsidR="00157EE5" w:rsidRPr="00506B65">
        <w:rPr>
          <w:rFonts w:ascii="Arial" w:hAnsi="Arial" w:cs="Arial"/>
        </w:rPr>
        <w:t>Relevant data will be curated, standardised, and pooled into a single database of quality-assured individual patient data</w:t>
      </w:r>
      <w:r w:rsidR="00157EE5">
        <w:rPr>
          <w:rFonts w:ascii="Arial" w:hAnsi="Arial" w:cs="Arial"/>
        </w:rPr>
        <w:t xml:space="preserve"> to facilitate meta-analysis.</w:t>
      </w:r>
    </w:p>
    <w:p w14:paraId="1456CAAC" w14:textId="5B3D7299" w:rsidR="002E37C7" w:rsidRDefault="002E37C7">
      <w:pPr>
        <w:rPr>
          <w:rFonts w:ascii="Arial" w:hAnsi="Arial" w:cs="Arial"/>
        </w:rPr>
      </w:pPr>
      <w:r>
        <w:rPr>
          <w:rFonts w:ascii="Arial" w:hAnsi="Arial" w:cs="Arial"/>
        </w:rPr>
        <w:br w:type="page"/>
      </w:r>
    </w:p>
    <w:p w14:paraId="77CC3112" w14:textId="7BCB9972" w:rsidR="00157EE5" w:rsidRPr="005714E4" w:rsidRDefault="00157EE5" w:rsidP="00157EE5">
      <w:pPr>
        <w:spacing w:after="0" w:line="240" w:lineRule="auto"/>
        <w:rPr>
          <w:rFonts w:ascii="Arial" w:hAnsi="Arial" w:cs="Arial"/>
        </w:rPr>
      </w:pPr>
      <w:r>
        <w:rPr>
          <w:rFonts w:ascii="Arial" w:hAnsi="Arial" w:cs="Arial"/>
          <w:b/>
          <w:bCs/>
          <w:color w:val="0070C0"/>
          <w:sz w:val="28"/>
          <w:szCs w:val="28"/>
        </w:rPr>
        <w:lastRenderedPageBreak/>
        <w:t xml:space="preserve">5. </w:t>
      </w:r>
      <w:r w:rsidRPr="002434A5">
        <w:rPr>
          <w:rFonts w:ascii="Arial" w:hAnsi="Arial" w:cs="Arial"/>
          <w:b/>
          <w:bCs/>
          <w:color w:val="0070C0"/>
          <w:sz w:val="28"/>
          <w:szCs w:val="28"/>
        </w:rPr>
        <w:t>Study Enrolment</w:t>
      </w:r>
    </w:p>
    <w:p w14:paraId="6F83783F" w14:textId="77777777" w:rsidR="00157EE5" w:rsidRDefault="00157EE5" w:rsidP="00157EE5">
      <w:pPr>
        <w:spacing w:after="0" w:line="240" w:lineRule="auto"/>
        <w:rPr>
          <w:rFonts w:ascii="Arial" w:hAnsi="Arial" w:cs="Arial"/>
        </w:rPr>
      </w:pPr>
    </w:p>
    <w:p w14:paraId="21A8FAB4" w14:textId="77777777" w:rsidR="00157EE5" w:rsidRDefault="00157EE5" w:rsidP="00157EE5">
      <w:pPr>
        <w:spacing w:after="0" w:line="240" w:lineRule="auto"/>
        <w:rPr>
          <w:rFonts w:ascii="Arial" w:hAnsi="Arial" w:cs="Arial"/>
        </w:rPr>
      </w:pPr>
    </w:p>
    <w:p w14:paraId="7F07C4D4" w14:textId="65389C6E" w:rsidR="00157EE5" w:rsidRPr="002E37C7" w:rsidRDefault="00157EE5" w:rsidP="002E37C7">
      <w:pPr>
        <w:pStyle w:val="ListParagraph"/>
        <w:numPr>
          <w:ilvl w:val="1"/>
          <w:numId w:val="37"/>
        </w:numPr>
        <w:spacing w:after="0" w:line="240" w:lineRule="auto"/>
        <w:rPr>
          <w:rFonts w:ascii="Arial" w:hAnsi="Arial" w:cs="Arial"/>
          <w:b/>
          <w:bCs/>
          <w:color w:val="0070C0"/>
          <w:sz w:val="24"/>
          <w:szCs w:val="24"/>
        </w:rPr>
      </w:pPr>
      <w:r w:rsidRPr="002E37C7">
        <w:rPr>
          <w:rFonts w:ascii="Arial" w:hAnsi="Arial" w:cs="Arial"/>
          <w:b/>
          <w:bCs/>
          <w:color w:val="0070C0"/>
          <w:sz w:val="24"/>
          <w:szCs w:val="24"/>
        </w:rPr>
        <w:t xml:space="preserve">  Essential Inclusion Criteria</w:t>
      </w:r>
    </w:p>
    <w:p w14:paraId="6816ECA1" w14:textId="77777777" w:rsidR="00157EE5" w:rsidRDefault="00157EE5" w:rsidP="00157EE5">
      <w:pPr>
        <w:pStyle w:val="ListParagraph"/>
        <w:spacing w:after="0" w:line="240" w:lineRule="auto"/>
        <w:ind w:left="1080"/>
        <w:rPr>
          <w:rFonts w:ascii="Arial" w:hAnsi="Arial" w:cs="Arial"/>
          <w:bCs/>
        </w:rPr>
      </w:pPr>
    </w:p>
    <w:p w14:paraId="5280C0D1" w14:textId="55EF5699" w:rsidR="00157EE5" w:rsidRPr="003B4567" w:rsidRDefault="00157EE5" w:rsidP="00607A87">
      <w:pPr>
        <w:pStyle w:val="ListParagraph"/>
        <w:numPr>
          <w:ilvl w:val="0"/>
          <w:numId w:val="14"/>
        </w:numPr>
        <w:spacing w:after="0" w:line="240" w:lineRule="auto"/>
        <w:rPr>
          <w:rFonts w:ascii="Arial" w:hAnsi="Arial" w:cs="Arial"/>
          <w:bCs/>
        </w:rPr>
      </w:pPr>
      <w:r w:rsidRPr="003B4567">
        <w:rPr>
          <w:rFonts w:ascii="Arial" w:hAnsi="Arial" w:cs="Arial"/>
          <w:bCs/>
        </w:rPr>
        <w:t xml:space="preserve">Prospective clinical efficacy studies of </w:t>
      </w:r>
      <w:r w:rsidRPr="003B4567">
        <w:rPr>
          <w:rFonts w:ascii="Arial" w:hAnsi="Arial" w:cs="Arial"/>
          <w:bCs/>
          <w:i/>
        </w:rPr>
        <w:t xml:space="preserve">P. vivax </w:t>
      </w:r>
      <w:r w:rsidRPr="003B4567">
        <w:rPr>
          <w:rFonts w:ascii="Arial" w:hAnsi="Arial" w:cs="Arial"/>
          <w:bCs/>
        </w:rPr>
        <w:t>mono</w:t>
      </w:r>
      <w:r w:rsidR="00D93B3D">
        <w:rPr>
          <w:rFonts w:ascii="Arial" w:hAnsi="Arial" w:cs="Arial"/>
          <w:bCs/>
        </w:rPr>
        <w:t>-</w:t>
      </w:r>
      <w:r w:rsidRPr="003B4567">
        <w:rPr>
          <w:rFonts w:ascii="Arial" w:hAnsi="Arial" w:cs="Arial"/>
          <w:bCs/>
        </w:rPr>
        <w:t>infection</w:t>
      </w:r>
    </w:p>
    <w:p w14:paraId="3071F415" w14:textId="183405A7" w:rsidR="00157EE5" w:rsidRDefault="00157EE5" w:rsidP="00607A87">
      <w:pPr>
        <w:pStyle w:val="ListParagraph"/>
        <w:widowControl w:val="0"/>
        <w:numPr>
          <w:ilvl w:val="0"/>
          <w:numId w:val="14"/>
        </w:numPr>
        <w:tabs>
          <w:tab w:val="left" w:pos="220"/>
          <w:tab w:val="left" w:pos="720"/>
        </w:tabs>
        <w:autoSpaceDE w:val="0"/>
        <w:autoSpaceDN w:val="0"/>
        <w:adjustRightInd w:val="0"/>
        <w:spacing w:after="0" w:line="240" w:lineRule="auto"/>
        <w:rPr>
          <w:rFonts w:ascii="Arial" w:hAnsi="Arial" w:cs="Arial"/>
        </w:rPr>
      </w:pPr>
      <w:r w:rsidRPr="003B4567">
        <w:rPr>
          <w:rFonts w:ascii="Arial" w:hAnsi="Arial" w:cs="Arial"/>
          <w:color w:val="000000" w:themeColor="text1"/>
        </w:rPr>
        <w:t xml:space="preserve">Study meta-data including </w:t>
      </w:r>
      <w:r w:rsidRPr="003B4567">
        <w:rPr>
          <w:rFonts w:ascii="Arial" w:hAnsi="Arial" w:cs="Arial"/>
        </w:rPr>
        <w:t>design, inclusion and exclusion criteria, and study location</w:t>
      </w:r>
    </w:p>
    <w:p w14:paraId="1EC9A6B8" w14:textId="7722A1CA" w:rsidR="00282592" w:rsidRPr="003B4567" w:rsidRDefault="00282592" w:rsidP="00607A87">
      <w:pPr>
        <w:pStyle w:val="ListParagraph"/>
        <w:widowControl w:val="0"/>
        <w:numPr>
          <w:ilvl w:val="0"/>
          <w:numId w:val="14"/>
        </w:numPr>
        <w:tabs>
          <w:tab w:val="left" w:pos="220"/>
          <w:tab w:val="left" w:pos="720"/>
        </w:tabs>
        <w:autoSpaceDE w:val="0"/>
        <w:autoSpaceDN w:val="0"/>
        <w:adjustRightInd w:val="0"/>
        <w:spacing w:after="0" w:line="240" w:lineRule="auto"/>
        <w:rPr>
          <w:rFonts w:ascii="Arial" w:hAnsi="Arial" w:cs="Arial"/>
        </w:rPr>
      </w:pPr>
      <w:r>
        <w:rPr>
          <w:rFonts w:ascii="Arial" w:hAnsi="Arial" w:cs="Arial"/>
          <w:color w:val="000000" w:themeColor="text1"/>
        </w:rPr>
        <w:t>Date of enrolment</w:t>
      </w:r>
    </w:p>
    <w:p w14:paraId="1EADA186" w14:textId="77777777" w:rsidR="00157EE5" w:rsidRDefault="00157EE5" w:rsidP="00607A87">
      <w:pPr>
        <w:pStyle w:val="ListParagraph"/>
        <w:numPr>
          <w:ilvl w:val="0"/>
          <w:numId w:val="14"/>
        </w:numPr>
        <w:spacing w:after="0" w:line="240" w:lineRule="auto"/>
        <w:rPr>
          <w:rFonts w:ascii="Arial" w:hAnsi="Arial" w:cs="Arial"/>
        </w:rPr>
      </w:pPr>
      <w:r w:rsidRPr="003B4567">
        <w:rPr>
          <w:rFonts w:ascii="Arial" w:hAnsi="Arial" w:cs="Arial"/>
        </w:rPr>
        <w:t>Age and sex of the participant</w:t>
      </w:r>
    </w:p>
    <w:p w14:paraId="061A47A2" w14:textId="77777777" w:rsidR="00157EE5" w:rsidRPr="005E0D98" w:rsidRDefault="00157EE5" w:rsidP="00607A87">
      <w:pPr>
        <w:pStyle w:val="ListParagraph"/>
        <w:numPr>
          <w:ilvl w:val="0"/>
          <w:numId w:val="14"/>
        </w:numPr>
        <w:spacing w:after="0" w:line="240" w:lineRule="auto"/>
        <w:rPr>
          <w:rFonts w:ascii="Arial" w:hAnsi="Arial" w:cs="Arial"/>
        </w:rPr>
      </w:pPr>
      <w:r w:rsidRPr="003B4567">
        <w:rPr>
          <w:rFonts w:ascii="Arial" w:hAnsi="Arial" w:cs="Arial"/>
        </w:rPr>
        <w:t xml:space="preserve">Number of recurrent episodes of </w:t>
      </w:r>
      <w:r w:rsidRPr="003B4567">
        <w:rPr>
          <w:rFonts w:ascii="Arial" w:hAnsi="Arial" w:cs="Arial"/>
          <w:i/>
        </w:rPr>
        <w:t>P. vivax</w:t>
      </w:r>
      <w:r w:rsidRPr="003B4567">
        <w:rPr>
          <w:rFonts w:ascii="Arial" w:hAnsi="Arial" w:cs="Arial"/>
        </w:rPr>
        <w:t xml:space="preserve"> parasitaemia per participant</w:t>
      </w:r>
    </w:p>
    <w:p w14:paraId="393ABCF0" w14:textId="2F86065D" w:rsidR="00157EE5" w:rsidRDefault="00157EE5" w:rsidP="00607A87">
      <w:pPr>
        <w:pStyle w:val="ListParagraph"/>
        <w:numPr>
          <w:ilvl w:val="0"/>
          <w:numId w:val="14"/>
        </w:numPr>
        <w:spacing w:after="0" w:line="240" w:lineRule="auto"/>
        <w:rPr>
          <w:rFonts w:ascii="Arial" w:hAnsi="Arial" w:cs="Arial"/>
        </w:rPr>
      </w:pPr>
      <w:r w:rsidRPr="003B4567">
        <w:rPr>
          <w:rFonts w:ascii="Arial" w:hAnsi="Arial" w:cs="Arial"/>
        </w:rPr>
        <w:t xml:space="preserve">For each </w:t>
      </w:r>
      <w:r w:rsidR="00AB3302">
        <w:rPr>
          <w:rFonts w:ascii="Arial" w:hAnsi="Arial" w:cs="Arial"/>
        </w:rPr>
        <w:t>initial</w:t>
      </w:r>
      <w:r w:rsidR="004301FB">
        <w:rPr>
          <w:rFonts w:ascii="Arial" w:hAnsi="Arial" w:cs="Arial"/>
        </w:rPr>
        <w:t xml:space="preserve"> and recurrent </w:t>
      </w:r>
      <w:r w:rsidRPr="003B4567">
        <w:rPr>
          <w:rFonts w:ascii="Arial" w:hAnsi="Arial" w:cs="Arial"/>
        </w:rPr>
        <w:t xml:space="preserve">episode of </w:t>
      </w:r>
      <w:r w:rsidR="004301FB">
        <w:rPr>
          <w:rFonts w:ascii="Arial" w:hAnsi="Arial" w:cs="Arial"/>
          <w:i/>
          <w:iCs/>
        </w:rPr>
        <w:t xml:space="preserve">P. vivax </w:t>
      </w:r>
      <w:r w:rsidRPr="003B4567">
        <w:rPr>
          <w:rFonts w:ascii="Arial" w:hAnsi="Arial" w:cs="Arial"/>
        </w:rPr>
        <w:t>parasitaemia:</w:t>
      </w:r>
    </w:p>
    <w:p w14:paraId="1D6F07AD" w14:textId="217C1032" w:rsidR="00157EE5" w:rsidRPr="005E0D98" w:rsidRDefault="00157EE5" w:rsidP="00607A87">
      <w:pPr>
        <w:pStyle w:val="ListParagraph"/>
        <w:numPr>
          <w:ilvl w:val="1"/>
          <w:numId w:val="14"/>
        </w:numPr>
        <w:spacing w:after="0" w:line="240" w:lineRule="auto"/>
        <w:rPr>
          <w:rFonts w:ascii="Arial" w:hAnsi="Arial" w:cs="Arial"/>
        </w:rPr>
      </w:pPr>
      <w:r w:rsidRPr="003B4567">
        <w:rPr>
          <w:rFonts w:ascii="Arial" w:hAnsi="Arial" w:cs="Arial"/>
        </w:rPr>
        <w:t xml:space="preserve">Date or timing of </w:t>
      </w:r>
      <w:r w:rsidR="004301FB">
        <w:rPr>
          <w:rFonts w:ascii="Arial" w:hAnsi="Arial" w:cs="Arial"/>
        </w:rPr>
        <w:t xml:space="preserve">parasitaemic </w:t>
      </w:r>
      <w:r w:rsidRPr="003B4567">
        <w:rPr>
          <w:rFonts w:ascii="Arial" w:hAnsi="Arial" w:cs="Arial"/>
        </w:rPr>
        <w:t>episode in relation to the date of enrolment</w:t>
      </w:r>
    </w:p>
    <w:p w14:paraId="47862C13" w14:textId="77777777" w:rsidR="00157EE5" w:rsidRPr="003B4567" w:rsidRDefault="00157EE5" w:rsidP="00607A87">
      <w:pPr>
        <w:pStyle w:val="ListParagraph"/>
        <w:numPr>
          <w:ilvl w:val="1"/>
          <w:numId w:val="14"/>
        </w:numPr>
        <w:spacing w:after="0" w:line="240" w:lineRule="auto"/>
        <w:rPr>
          <w:rFonts w:ascii="Arial" w:hAnsi="Arial" w:cs="Arial"/>
        </w:rPr>
      </w:pPr>
      <w:r w:rsidRPr="003B4567">
        <w:rPr>
          <w:rFonts w:ascii="Arial" w:hAnsi="Arial" w:cs="Arial"/>
        </w:rPr>
        <w:t>Temperature recording and/or the presence or absence of a</w:t>
      </w:r>
      <w:r>
        <w:rPr>
          <w:rFonts w:ascii="Arial" w:hAnsi="Arial" w:cs="Arial"/>
        </w:rPr>
        <w:t xml:space="preserve"> recent</w:t>
      </w:r>
      <w:r w:rsidRPr="003B4567">
        <w:rPr>
          <w:rFonts w:ascii="Arial" w:hAnsi="Arial" w:cs="Arial"/>
        </w:rPr>
        <w:t xml:space="preserve"> history of fever (within the last 72 hours) </w:t>
      </w:r>
    </w:p>
    <w:p w14:paraId="4CD5FAF3" w14:textId="5F8C9A89" w:rsidR="00157EE5" w:rsidRPr="003B4567" w:rsidRDefault="007961C0" w:rsidP="00607A87">
      <w:pPr>
        <w:pStyle w:val="ListParagraph"/>
        <w:numPr>
          <w:ilvl w:val="1"/>
          <w:numId w:val="14"/>
        </w:numPr>
        <w:spacing w:after="0" w:line="240" w:lineRule="auto"/>
        <w:rPr>
          <w:rFonts w:ascii="Arial" w:hAnsi="Arial" w:cs="Arial"/>
        </w:rPr>
      </w:pPr>
      <w:r>
        <w:rPr>
          <w:rFonts w:ascii="Arial" w:hAnsi="Arial" w:cs="Arial"/>
        </w:rPr>
        <w:t>Presence and a</w:t>
      </w:r>
      <w:r w:rsidR="00157EE5" w:rsidRPr="003B4567">
        <w:rPr>
          <w:rFonts w:ascii="Arial" w:hAnsi="Arial" w:cs="Arial"/>
        </w:rPr>
        <w:t xml:space="preserve">sexual density of </w:t>
      </w:r>
      <w:r w:rsidR="00157EE5" w:rsidRPr="003B4567">
        <w:rPr>
          <w:rFonts w:ascii="Arial" w:hAnsi="Arial" w:cs="Arial"/>
          <w:i/>
        </w:rPr>
        <w:t>P. vivax</w:t>
      </w:r>
      <w:r w:rsidR="00157EE5" w:rsidRPr="003B4567">
        <w:rPr>
          <w:rFonts w:ascii="Arial" w:hAnsi="Arial" w:cs="Arial"/>
        </w:rPr>
        <w:t xml:space="preserve"> parasites based on </w:t>
      </w:r>
      <w:r w:rsidR="00157EE5">
        <w:rPr>
          <w:rFonts w:ascii="Arial" w:hAnsi="Arial" w:cs="Arial"/>
        </w:rPr>
        <w:t xml:space="preserve">blood film </w:t>
      </w:r>
      <w:r w:rsidR="00157EE5" w:rsidRPr="003B4567">
        <w:rPr>
          <w:rFonts w:ascii="Arial" w:hAnsi="Arial" w:cs="Arial"/>
        </w:rPr>
        <w:t>microscopy</w:t>
      </w:r>
    </w:p>
    <w:p w14:paraId="48090E40" w14:textId="77777777" w:rsidR="00157EE5" w:rsidRDefault="00157EE5" w:rsidP="00157EE5">
      <w:pPr>
        <w:spacing w:after="0" w:line="240" w:lineRule="auto"/>
        <w:rPr>
          <w:rFonts w:ascii="Arial" w:hAnsi="Arial" w:cs="Arial"/>
        </w:rPr>
      </w:pPr>
    </w:p>
    <w:p w14:paraId="1E74879E" w14:textId="77777777" w:rsidR="00157EE5" w:rsidRDefault="00157EE5" w:rsidP="00157EE5">
      <w:pPr>
        <w:spacing w:after="0" w:line="240" w:lineRule="auto"/>
        <w:rPr>
          <w:rFonts w:ascii="Arial" w:hAnsi="Arial" w:cs="Arial"/>
        </w:rPr>
      </w:pPr>
    </w:p>
    <w:p w14:paraId="77836E1E" w14:textId="77777777" w:rsidR="00157EE5" w:rsidRDefault="00157EE5" w:rsidP="00157EE5">
      <w:pPr>
        <w:spacing w:after="0" w:line="240" w:lineRule="auto"/>
        <w:rPr>
          <w:rFonts w:ascii="Arial" w:hAnsi="Arial" w:cs="Arial"/>
        </w:rPr>
      </w:pPr>
    </w:p>
    <w:p w14:paraId="08247E2C" w14:textId="77777777" w:rsidR="00157EE5" w:rsidRPr="00956739" w:rsidRDefault="00157EE5" w:rsidP="002E37C7">
      <w:pPr>
        <w:pStyle w:val="ListParagraph"/>
        <w:numPr>
          <w:ilvl w:val="1"/>
          <w:numId w:val="37"/>
        </w:numPr>
        <w:spacing w:after="0" w:line="240" w:lineRule="auto"/>
        <w:rPr>
          <w:rFonts w:ascii="Arial" w:hAnsi="Arial" w:cs="Arial"/>
          <w:b/>
          <w:bCs/>
          <w:color w:val="0070C0"/>
          <w:sz w:val="24"/>
          <w:szCs w:val="24"/>
        </w:rPr>
      </w:pPr>
      <w:r w:rsidRPr="00B36E90">
        <w:rPr>
          <w:rFonts w:ascii="Arial" w:hAnsi="Arial" w:cs="Arial"/>
          <w:b/>
          <w:bCs/>
          <w:color w:val="0070C0"/>
          <w:sz w:val="24"/>
          <w:szCs w:val="24"/>
        </w:rPr>
        <w:t xml:space="preserve">  Desirable </w:t>
      </w:r>
      <w:r>
        <w:rPr>
          <w:rFonts w:ascii="Arial" w:hAnsi="Arial" w:cs="Arial"/>
          <w:b/>
          <w:bCs/>
          <w:color w:val="0070C0"/>
          <w:sz w:val="24"/>
          <w:szCs w:val="24"/>
        </w:rPr>
        <w:t xml:space="preserve">Inclusion </w:t>
      </w:r>
      <w:r w:rsidRPr="00B36E90">
        <w:rPr>
          <w:rFonts w:ascii="Arial" w:hAnsi="Arial" w:cs="Arial"/>
          <w:b/>
          <w:bCs/>
          <w:color w:val="0070C0"/>
          <w:sz w:val="24"/>
          <w:szCs w:val="24"/>
        </w:rPr>
        <w:t>Criteria</w:t>
      </w:r>
    </w:p>
    <w:p w14:paraId="7B090877" w14:textId="77777777" w:rsidR="00157EE5" w:rsidRDefault="00157EE5" w:rsidP="00157EE5">
      <w:pPr>
        <w:pStyle w:val="ListParagraph"/>
        <w:spacing w:after="0" w:line="240" w:lineRule="auto"/>
        <w:ind w:left="1080"/>
        <w:rPr>
          <w:rFonts w:ascii="Arial" w:hAnsi="Arial" w:cs="Arial"/>
        </w:rPr>
      </w:pPr>
    </w:p>
    <w:p w14:paraId="45DFBDCB" w14:textId="046A9DE3" w:rsidR="00157EE5" w:rsidRDefault="00157EE5" w:rsidP="00607A87">
      <w:pPr>
        <w:pStyle w:val="ListParagraph"/>
        <w:numPr>
          <w:ilvl w:val="0"/>
          <w:numId w:val="15"/>
        </w:numPr>
        <w:spacing w:after="0" w:line="240" w:lineRule="auto"/>
        <w:rPr>
          <w:rFonts w:ascii="Arial" w:hAnsi="Arial" w:cs="Arial"/>
        </w:rPr>
      </w:pPr>
      <w:r w:rsidRPr="003B4567">
        <w:rPr>
          <w:rFonts w:ascii="Arial" w:hAnsi="Arial" w:cs="Arial"/>
        </w:rPr>
        <w:t>Study site details</w:t>
      </w:r>
    </w:p>
    <w:p w14:paraId="0937C271" w14:textId="2B074EBB" w:rsidR="00AB3302" w:rsidRPr="003B4567" w:rsidRDefault="00AB3302" w:rsidP="00607A87">
      <w:pPr>
        <w:pStyle w:val="ListParagraph"/>
        <w:numPr>
          <w:ilvl w:val="0"/>
          <w:numId w:val="15"/>
        </w:numPr>
        <w:spacing w:after="0" w:line="240" w:lineRule="auto"/>
        <w:rPr>
          <w:rFonts w:ascii="Arial" w:hAnsi="Arial" w:cs="Arial"/>
        </w:rPr>
      </w:pPr>
      <w:r>
        <w:rPr>
          <w:rFonts w:ascii="Arial" w:hAnsi="Arial" w:cs="Arial"/>
        </w:rPr>
        <w:t>Microscopy quality assurance information</w:t>
      </w:r>
    </w:p>
    <w:p w14:paraId="3380EA51" w14:textId="77777777" w:rsidR="00157EE5" w:rsidRPr="003B4567" w:rsidRDefault="00157EE5" w:rsidP="00607A87">
      <w:pPr>
        <w:pStyle w:val="ListParagraph"/>
        <w:numPr>
          <w:ilvl w:val="0"/>
          <w:numId w:val="15"/>
        </w:numPr>
        <w:spacing w:after="0" w:line="240" w:lineRule="auto"/>
        <w:rPr>
          <w:rFonts w:ascii="Arial" w:hAnsi="Arial" w:cs="Arial"/>
        </w:rPr>
      </w:pPr>
      <w:r w:rsidRPr="003B4567">
        <w:rPr>
          <w:rFonts w:ascii="Arial" w:hAnsi="Arial" w:cs="Arial"/>
        </w:rPr>
        <w:t>Residence in the study location during the last year</w:t>
      </w:r>
    </w:p>
    <w:p w14:paraId="73A9E988" w14:textId="77777777" w:rsidR="00157EE5" w:rsidRPr="003B4567" w:rsidRDefault="00157EE5" w:rsidP="00607A87">
      <w:pPr>
        <w:pStyle w:val="ListParagraph"/>
        <w:numPr>
          <w:ilvl w:val="0"/>
          <w:numId w:val="15"/>
        </w:numPr>
        <w:spacing w:after="0" w:line="240" w:lineRule="auto"/>
        <w:rPr>
          <w:rFonts w:ascii="Arial" w:hAnsi="Arial" w:cs="Arial"/>
        </w:rPr>
      </w:pPr>
      <w:r w:rsidRPr="003B4567">
        <w:rPr>
          <w:rFonts w:ascii="Arial" w:hAnsi="Arial" w:cs="Arial"/>
        </w:rPr>
        <w:t xml:space="preserve">Malaria history of the participant </w:t>
      </w:r>
      <w:r>
        <w:rPr>
          <w:rFonts w:ascii="Arial" w:hAnsi="Arial" w:cs="Arial"/>
        </w:rPr>
        <w:t>in the last year</w:t>
      </w:r>
    </w:p>
    <w:p w14:paraId="58710AE1" w14:textId="77777777" w:rsidR="00157EE5" w:rsidRPr="003B4567" w:rsidRDefault="00157EE5" w:rsidP="00607A87">
      <w:pPr>
        <w:pStyle w:val="ListParagraph"/>
        <w:numPr>
          <w:ilvl w:val="0"/>
          <w:numId w:val="15"/>
        </w:numPr>
        <w:spacing w:after="0" w:line="240" w:lineRule="auto"/>
        <w:rPr>
          <w:rFonts w:ascii="Arial" w:hAnsi="Arial" w:cs="Arial"/>
        </w:rPr>
      </w:pPr>
      <w:r w:rsidRPr="003B4567">
        <w:rPr>
          <w:rFonts w:ascii="Arial" w:hAnsi="Arial" w:cs="Arial"/>
        </w:rPr>
        <w:t>Weight and height of the participant</w:t>
      </w:r>
    </w:p>
    <w:p w14:paraId="03BB38FA" w14:textId="0BBF96AF" w:rsidR="00157EE5" w:rsidRPr="003B4567" w:rsidRDefault="00157EE5" w:rsidP="00607A87">
      <w:pPr>
        <w:pStyle w:val="ListParagraph"/>
        <w:numPr>
          <w:ilvl w:val="0"/>
          <w:numId w:val="15"/>
        </w:numPr>
        <w:spacing w:after="0" w:line="240" w:lineRule="auto"/>
        <w:rPr>
          <w:rFonts w:ascii="Arial" w:hAnsi="Arial" w:cs="Arial"/>
        </w:rPr>
      </w:pPr>
      <w:r w:rsidRPr="003B4567">
        <w:rPr>
          <w:rFonts w:ascii="Arial" w:hAnsi="Arial" w:cs="Arial"/>
        </w:rPr>
        <w:t>Nutritional status of the participant, assessed using BMI (body mass index), weight-for-age z score</w:t>
      </w:r>
      <w:r w:rsidR="00661195">
        <w:rPr>
          <w:rFonts w:ascii="Arial" w:hAnsi="Arial" w:cs="Arial"/>
          <w:vertAlign w:val="superscript"/>
        </w:rPr>
        <w:t>9</w:t>
      </w:r>
      <w:r w:rsidRPr="003B4567">
        <w:rPr>
          <w:rFonts w:ascii="Arial" w:hAnsi="Arial" w:cs="Arial"/>
        </w:rPr>
        <w:t xml:space="preserve">, or mid-upper arm circumference (MUAC) </w:t>
      </w:r>
    </w:p>
    <w:p w14:paraId="40857D20" w14:textId="77777777" w:rsidR="00157EE5" w:rsidRPr="003B4567" w:rsidRDefault="00157EE5" w:rsidP="00607A87">
      <w:pPr>
        <w:pStyle w:val="ListParagraph"/>
        <w:numPr>
          <w:ilvl w:val="0"/>
          <w:numId w:val="15"/>
        </w:numPr>
        <w:spacing w:after="0" w:line="240" w:lineRule="auto"/>
        <w:rPr>
          <w:rFonts w:ascii="Arial" w:hAnsi="Arial" w:cs="Arial"/>
        </w:rPr>
      </w:pPr>
      <w:r w:rsidRPr="003B4567">
        <w:rPr>
          <w:rFonts w:ascii="Arial" w:hAnsi="Arial" w:cs="Arial"/>
        </w:rPr>
        <w:t>Haemoglobin at enrolment</w:t>
      </w:r>
    </w:p>
    <w:p w14:paraId="77A68917" w14:textId="444FA9DA" w:rsidR="00157EE5" w:rsidRDefault="00157EE5" w:rsidP="00AB3302">
      <w:pPr>
        <w:pStyle w:val="ListParagraph"/>
        <w:numPr>
          <w:ilvl w:val="0"/>
          <w:numId w:val="15"/>
        </w:numPr>
        <w:spacing w:after="0" w:line="240" w:lineRule="auto"/>
        <w:rPr>
          <w:rFonts w:ascii="Arial" w:hAnsi="Arial" w:cs="Arial"/>
        </w:rPr>
      </w:pPr>
      <w:r w:rsidRPr="00AB3302">
        <w:rPr>
          <w:rFonts w:ascii="Arial" w:hAnsi="Arial" w:cs="Arial"/>
        </w:rPr>
        <w:t>Haemoglobin at the time of recurren</w:t>
      </w:r>
      <w:r w:rsidR="00AB3302">
        <w:rPr>
          <w:rFonts w:ascii="Arial" w:hAnsi="Arial" w:cs="Arial"/>
        </w:rPr>
        <w:t xml:space="preserve">t </w:t>
      </w:r>
      <w:r w:rsidR="00AB3302">
        <w:rPr>
          <w:rFonts w:ascii="Arial" w:hAnsi="Arial" w:cs="Arial"/>
          <w:i/>
          <w:iCs/>
        </w:rPr>
        <w:t xml:space="preserve">P. vivax </w:t>
      </w:r>
      <w:r w:rsidR="00AB3302">
        <w:rPr>
          <w:rFonts w:ascii="Arial" w:hAnsi="Arial" w:cs="Arial"/>
        </w:rPr>
        <w:t>parasitaemia</w:t>
      </w:r>
    </w:p>
    <w:p w14:paraId="3F33DBCC" w14:textId="68F432E4" w:rsidR="00AE55E0" w:rsidRDefault="00AE55E0" w:rsidP="00AB3302">
      <w:pPr>
        <w:pStyle w:val="ListParagraph"/>
        <w:numPr>
          <w:ilvl w:val="0"/>
          <w:numId w:val="15"/>
        </w:numPr>
        <w:spacing w:after="0" w:line="240" w:lineRule="auto"/>
        <w:rPr>
          <w:rFonts w:ascii="Arial" w:hAnsi="Arial" w:cs="Arial"/>
        </w:rPr>
      </w:pPr>
      <w:r>
        <w:rPr>
          <w:rFonts w:ascii="Arial" w:hAnsi="Arial" w:cs="Arial"/>
        </w:rPr>
        <w:t>Schizontocidal treatment(s) tested</w:t>
      </w:r>
    </w:p>
    <w:p w14:paraId="7B513E19" w14:textId="3337DE0E" w:rsidR="00AE55E0" w:rsidRDefault="00AE55E0" w:rsidP="00AB3302">
      <w:pPr>
        <w:pStyle w:val="ListParagraph"/>
        <w:numPr>
          <w:ilvl w:val="0"/>
          <w:numId w:val="15"/>
        </w:numPr>
        <w:spacing w:after="0" w:line="240" w:lineRule="auto"/>
        <w:rPr>
          <w:rFonts w:ascii="Arial" w:hAnsi="Arial" w:cs="Arial"/>
        </w:rPr>
      </w:pPr>
      <w:r>
        <w:rPr>
          <w:rFonts w:ascii="Arial" w:hAnsi="Arial" w:cs="Arial"/>
        </w:rPr>
        <w:t>Administration of schizontocidal treatment for asymptomatic recurrences</w:t>
      </w:r>
    </w:p>
    <w:p w14:paraId="014E7FD4" w14:textId="1C00FB31" w:rsidR="00AE55E0" w:rsidRPr="00AB3302" w:rsidRDefault="00AE55E0" w:rsidP="00AB3302">
      <w:pPr>
        <w:pStyle w:val="ListParagraph"/>
        <w:numPr>
          <w:ilvl w:val="0"/>
          <w:numId w:val="15"/>
        </w:numPr>
        <w:spacing w:after="0" w:line="240" w:lineRule="auto"/>
        <w:rPr>
          <w:rFonts w:ascii="Arial" w:hAnsi="Arial" w:cs="Arial"/>
        </w:rPr>
      </w:pPr>
      <w:r>
        <w:rPr>
          <w:rFonts w:ascii="Arial" w:hAnsi="Arial" w:cs="Arial"/>
        </w:rPr>
        <w:t>8-aminoquinoline (8-AQ) treatment administered and timing of administration</w:t>
      </w:r>
    </w:p>
    <w:p w14:paraId="4AE63649" w14:textId="77777777" w:rsidR="00157EE5" w:rsidRDefault="00157EE5" w:rsidP="00157EE5">
      <w:pPr>
        <w:pStyle w:val="ListParagraph"/>
        <w:spacing w:after="0" w:line="240" w:lineRule="auto"/>
        <w:ind w:left="1800"/>
        <w:rPr>
          <w:rFonts w:ascii="Arial" w:hAnsi="Arial" w:cs="Arial"/>
        </w:rPr>
      </w:pPr>
    </w:p>
    <w:p w14:paraId="7CBD5CF7" w14:textId="77777777" w:rsidR="00157EE5" w:rsidRDefault="00157EE5" w:rsidP="00157EE5">
      <w:pPr>
        <w:pStyle w:val="ListParagraph"/>
        <w:spacing w:after="0" w:line="240" w:lineRule="auto"/>
        <w:ind w:left="1800"/>
        <w:rPr>
          <w:rFonts w:ascii="Arial" w:hAnsi="Arial" w:cs="Arial"/>
        </w:rPr>
      </w:pPr>
    </w:p>
    <w:p w14:paraId="07A476C1" w14:textId="77777777" w:rsidR="00157EE5" w:rsidRPr="003B4567" w:rsidRDefault="00157EE5" w:rsidP="00157EE5">
      <w:pPr>
        <w:pStyle w:val="ListParagraph"/>
        <w:spacing w:after="0" w:line="240" w:lineRule="auto"/>
        <w:ind w:left="1800"/>
        <w:rPr>
          <w:rFonts w:ascii="Arial" w:hAnsi="Arial" w:cs="Arial"/>
        </w:rPr>
      </w:pPr>
    </w:p>
    <w:p w14:paraId="4B6C89E0" w14:textId="77777777" w:rsidR="00157EE5" w:rsidRPr="00956739" w:rsidRDefault="00157EE5" w:rsidP="002E37C7">
      <w:pPr>
        <w:pStyle w:val="ListParagraph"/>
        <w:numPr>
          <w:ilvl w:val="1"/>
          <w:numId w:val="37"/>
        </w:numPr>
        <w:spacing w:after="0" w:line="240" w:lineRule="auto"/>
        <w:rPr>
          <w:rFonts w:ascii="Arial" w:hAnsi="Arial" w:cs="Arial"/>
          <w:b/>
          <w:bCs/>
          <w:color w:val="0070C0"/>
          <w:sz w:val="24"/>
          <w:szCs w:val="24"/>
        </w:rPr>
      </w:pPr>
      <w:r w:rsidRPr="00B36E90">
        <w:rPr>
          <w:rFonts w:ascii="Arial" w:hAnsi="Arial" w:cs="Arial"/>
          <w:b/>
          <w:bCs/>
          <w:color w:val="0070C0"/>
          <w:sz w:val="24"/>
          <w:szCs w:val="24"/>
        </w:rPr>
        <w:t xml:space="preserve">  Exclusion Criteria</w:t>
      </w:r>
    </w:p>
    <w:p w14:paraId="1004D78B" w14:textId="77777777" w:rsidR="00DF32D8" w:rsidRDefault="00DF32D8" w:rsidP="00DF32D8">
      <w:pPr>
        <w:spacing w:after="0" w:line="240" w:lineRule="auto"/>
        <w:rPr>
          <w:rFonts w:ascii="Arial" w:hAnsi="Arial" w:cs="Arial"/>
        </w:rPr>
      </w:pPr>
    </w:p>
    <w:p w14:paraId="72807980" w14:textId="0AAC5350" w:rsidR="00157EE5" w:rsidRPr="00DF32D8" w:rsidRDefault="00157EE5" w:rsidP="00DF32D8">
      <w:pPr>
        <w:pStyle w:val="ListParagraph"/>
        <w:numPr>
          <w:ilvl w:val="0"/>
          <w:numId w:val="28"/>
        </w:numPr>
        <w:spacing w:after="0" w:line="240" w:lineRule="auto"/>
        <w:rPr>
          <w:rFonts w:ascii="Arial" w:hAnsi="Arial" w:cs="Arial"/>
        </w:rPr>
      </w:pPr>
      <w:r w:rsidRPr="00DF32D8">
        <w:rPr>
          <w:rFonts w:ascii="Arial" w:hAnsi="Arial" w:cs="Arial"/>
        </w:rPr>
        <w:t>Pregnancy</w:t>
      </w:r>
    </w:p>
    <w:p w14:paraId="45C208CE" w14:textId="77777777" w:rsidR="00157EE5" w:rsidRDefault="00157EE5" w:rsidP="00157EE5">
      <w:pPr>
        <w:pStyle w:val="ListParagraph"/>
        <w:spacing w:after="0" w:line="240" w:lineRule="auto"/>
        <w:ind w:left="1080"/>
        <w:rPr>
          <w:rFonts w:ascii="Arial" w:hAnsi="Arial" w:cs="Arial"/>
        </w:rPr>
      </w:pPr>
    </w:p>
    <w:p w14:paraId="3FD8907E" w14:textId="77777777" w:rsidR="00157EE5" w:rsidRDefault="00157EE5" w:rsidP="00157EE5">
      <w:pPr>
        <w:rPr>
          <w:rFonts w:ascii="Arial" w:hAnsi="Arial" w:cs="Arial"/>
          <w:b/>
          <w:color w:val="0070C0"/>
          <w:sz w:val="28"/>
          <w:szCs w:val="28"/>
        </w:rPr>
      </w:pPr>
      <w:r>
        <w:rPr>
          <w:rFonts w:ascii="Arial" w:hAnsi="Arial" w:cs="Arial"/>
          <w:b/>
          <w:color w:val="0070C0"/>
          <w:sz w:val="28"/>
          <w:szCs w:val="28"/>
        </w:rPr>
        <w:br w:type="page"/>
      </w:r>
    </w:p>
    <w:p w14:paraId="722BFA73" w14:textId="77777777" w:rsidR="00157EE5" w:rsidRPr="00956739" w:rsidRDefault="00157EE5" w:rsidP="00157EE5">
      <w:pPr>
        <w:spacing w:after="0" w:line="240" w:lineRule="auto"/>
        <w:rPr>
          <w:rFonts w:ascii="Arial" w:hAnsi="Arial" w:cs="Arial"/>
        </w:rPr>
      </w:pPr>
      <w:r w:rsidRPr="00956739">
        <w:rPr>
          <w:rFonts w:ascii="Arial" w:hAnsi="Arial" w:cs="Arial"/>
          <w:b/>
          <w:color w:val="0070C0"/>
          <w:sz w:val="28"/>
          <w:szCs w:val="28"/>
        </w:rPr>
        <w:lastRenderedPageBreak/>
        <w:t>6. Outline of Statistical Analysis</w:t>
      </w:r>
    </w:p>
    <w:p w14:paraId="1C341553" w14:textId="77777777" w:rsidR="00157EE5" w:rsidRDefault="00157EE5" w:rsidP="00157EE5">
      <w:pPr>
        <w:spacing w:after="0" w:line="240" w:lineRule="auto"/>
        <w:rPr>
          <w:rFonts w:ascii="Arial" w:hAnsi="Arial" w:cs="Arial"/>
        </w:rPr>
      </w:pPr>
    </w:p>
    <w:p w14:paraId="1522DB42" w14:textId="77777777" w:rsidR="00157EE5" w:rsidRDefault="00157EE5" w:rsidP="00157EE5">
      <w:pPr>
        <w:spacing w:after="0" w:line="240" w:lineRule="auto"/>
        <w:rPr>
          <w:rFonts w:ascii="Arial" w:hAnsi="Arial" w:cs="Arial"/>
        </w:rPr>
      </w:pPr>
    </w:p>
    <w:p w14:paraId="75423F1A" w14:textId="77777777" w:rsidR="00157EE5" w:rsidRDefault="00157EE5" w:rsidP="00157EE5">
      <w:pPr>
        <w:spacing w:after="0" w:line="240" w:lineRule="auto"/>
        <w:rPr>
          <w:rFonts w:ascii="Arial" w:hAnsi="Arial" w:cs="Arial"/>
          <w:b/>
          <w:bCs/>
          <w:color w:val="0070C0"/>
          <w:sz w:val="24"/>
          <w:szCs w:val="24"/>
        </w:rPr>
      </w:pPr>
    </w:p>
    <w:p w14:paraId="097BB745" w14:textId="77777777" w:rsidR="00157EE5" w:rsidRPr="009D515F" w:rsidRDefault="00157EE5" w:rsidP="00157EE5">
      <w:pPr>
        <w:spacing w:after="0" w:line="240" w:lineRule="auto"/>
        <w:rPr>
          <w:rFonts w:ascii="Arial" w:hAnsi="Arial" w:cs="Arial"/>
          <w:b/>
          <w:bCs/>
          <w:color w:val="0070C0"/>
          <w:sz w:val="24"/>
          <w:szCs w:val="24"/>
        </w:rPr>
      </w:pPr>
      <w:r w:rsidRPr="00626459">
        <w:rPr>
          <w:rFonts w:ascii="Arial" w:hAnsi="Arial" w:cs="Arial"/>
          <w:b/>
          <w:bCs/>
          <w:color w:val="0070C0"/>
          <w:sz w:val="24"/>
          <w:szCs w:val="24"/>
        </w:rPr>
        <w:t>6.1   Specific Objectives of the Study</w:t>
      </w:r>
    </w:p>
    <w:p w14:paraId="6A32780E" w14:textId="77777777" w:rsidR="00157EE5" w:rsidRDefault="00157EE5" w:rsidP="00157EE5">
      <w:pPr>
        <w:spacing w:after="0" w:line="240" w:lineRule="auto"/>
        <w:rPr>
          <w:rFonts w:ascii="Arial" w:hAnsi="Arial" w:cs="Arial"/>
        </w:rPr>
      </w:pPr>
    </w:p>
    <w:p w14:paraId="60E9D3FB" w14:textId="30853D48" w:rsidR="00374E88" w:rsidRPr="00F224F8" w:rsidRDefault="00374E88" w:rsidP="002E37C7">
      <w:pPr>
        <w:pStyle w:val="ListParagraph"/>
        <w:numPr>
          <w:ilvl w:val="0"/>
          <w:numId w:val="4"/>
        </w:numPr>
        <w:spacing w:before="120" w:after="120" w:line="240" w:lineRule="auto"/>
        <w:rPr>
          <w:rFonts w:ascii="Arial" w:hAnsi="Arial" w:cs="Arial"/>
          <w:bCs/>
          <w:color w:val="2E74B5" w:themeColor="accent5" w:themeShade="BF"/>
        </w:rPr>
      </w:pPr>
      <w:r w:rsidRPr="00F224F8">
        <w:rPr>
          <w:rFonts w:ascii="Arial" w:hAnsi="Arial" w:cs="Arial"/>
          <w:iCs/>
          <w:color w:val="2E74B5" w:themeColor="accent5" w:themeShade="BF"/>
        </w:rPr>
        <w:t>To inform the development and evaluation of diagnostic</w:t>
      </w:r>
      <w:r w:rsidR="00092B36">
        <w:rPr>
          <w:rFonts w:ascii="Arial" w:hAnsi="Arial" w:cs="Arial"/>
          <w:iCs/>
          <w:color w:val="2E74B5" w:themeColor="accent5" w:themeShade="BF"/>
        </w:rPr>
        <w:t xml:space="preserve"> tools </w:t>
      </w:r>
      <w:r w:rsidRPr="00F224F8">
        <w:rPr>
          <w:rFonts w:ascii="Arial" w:hAnsi="Arial" w:cs="Arial"/>
          <w:iCs/>
          <w:color w:val="2E74B5" w:themeColor="accent5" w:themeShade="BF"/>
        </w:rPr>
        <w:t xml:space="preserve">for vivax malaria: </w:t>
      </w:r>
    </w:p>
    <w:p w14:paraId="56B2DC2D" w14:textId="061628D3" w:rsidR="00C3722B" w:rsidRPr="005F1857" w:rsidRDefault="00374E88" w:rsidP="002E37C7">
      <w:pPr>
        <w:pStyle w:val="ListParagraph"/>
        <w:numPr>
          <w:ilvl w:val="1"/>
          <w:numId w:val="4"/>
        </w:numPr>
        <w:spacing w:before="120" w:after="120" w:line="240" w:lineRule="auto"/>
        <w:ind w:left="1434" w:hanging="357"/>
        <w:rPr>
          <w:rFonts w:ascii="Arial" w:hAnsi="Arial" w:cs="Arial"/>
          <w:bCs/>
        </w:rPr>
      </w:pPr>
      <w:r>
        <w:rPr>
          <w:rFonts w:ascii="Arial" w:hAnsi="Arial" w:cs="Arial"/>
          <w:bCs/>
        </w:rPr>
        <w:t>T</w:t>
      </w:r>
      <w:r w:rsidR="00C3722B">
        <w:rPr>
          <w:rFonts w:ascii="Arial" w:hAnsi="Arial" w:cs="Arial"/>
          <w:bCs/>
        </w:rPr>
        <w:t xml:space="preserve">o estimate the </w:t>
      </w:r>
      <w:r w:rsidR="00C3722B">
        <w:rPr>
          <w:rFonts w:ascii="Arial" w:hAnsi="Arial" w:cs="Arial"/>
          <w:bCs/>
          <w:i/>
          <w:iCs/>
        </w:rPr>
        <w:t>P. vivax</w:t>
      </w:r>
      <w:r w:rsidR="00C3722B">
        <w:rPr>
          <w:rFonts w:ascii="Arial" w:hAnsi="Arial" w:cs="Arial"/>
          <w:bCs/>
        </w:rPr>
        <w:t xml:space="preserve"> </w:t>
      </w:r>
      <w:r w:rsidR="00FC4671" w:rsidRPr="00092B36">
        <w:rPr>
          <w:rFonts w:ascii="Arial" w:hAnsi="Arial" w:cs="Arial"/>
          <w:color w:val="000000" w:themeColor="text1"/>
        </w:rPr>
        <w:t xml:space="preserve">parasitaemia </w:t>
      </w:r>
      <w:r w:rsidR="00FC4671">
        <w:rPr>
          <w:rFonts w:ascii="Arial" w:hAnsi="Arial" w:cs="Arial"/>
          <w:color w:val="000000" w:themeColor="text1"/>
        </w:rPr>
        <w:t>threshold</w:t>
      </w:r>
      <w:r w:rsidR="008E4AB4">
        <w:rPr>
          <w:rFonts w:ascii="Arial" w:hAnsi="Arial" w:cs="Arial"/>
          <w:color w:val="000000" w:themeColor="text1"/>
        </w:rPr>
        <w:t>s</w:t>
      </w:r>
      <w:r w:rsidR="00FC4671">
        <w:rPr>
          <w:rFonts w:ascii="Arial" w:hAnsi="Arial" w:cs="Arial"/>
          <w:color w:val="000000" w:themeColor="text1"/>
        </w:rPr>
        <w:t xml:space="preserve"> </w:t>
      </w:r>
      <w:r w:rsidR="00FC4671" w:rsidRPr="00092B36">
        <w:rPr>
          <w:rFonts w:ascii="Arial" w:hAnsi="Arial" w:cs="Arial"/>
          <w:color w:val="000000" w:themeColor="text1"/>
        </w:rPr>
        <w:t xml:space="preserve">which </w:t>
      </w:r>
      <w:r w:rsidR="002D1265">
        <w:rPr>
          <w:rFonts w:ascii="Arial" w:hAnsi="Arial" w:cs="Arial"/>
          <w:color w:val="000000" w:themeColor="text1"/>
        </w:rPr>
        <w:t>capture percentages</w:t>
      </w:r>
      <w:r w:rsidR="00FC4671" w:rsidRPr="00092B36">
        <w:rPr>
          <w:rFonts w:ascii="Arial" w:hAnsi="Arial" w:cs="Arial"/>
          <w:color w:val="000000" w:themeColor="text1"/>
        </w:rPr>
        <w:t xml:space="preserve"> of febrile patients </w:t>
      </w:r>
      <w:r w:rsidR="00FC4671">
        <w:rPr>
          <w:rFonts w:ascii="Arial" w:hAnsi="Arial" w:cs="Arial"/>
          <w:color w:val="000000" w:themeColor="text1"/>
        </w:rPr>
        <w:t xml:space="preserve">who </w:t>
      </w:r>
      <w:r w:rsidR="00FC4671" w:rsidRPr="00092B36">
        <w:rPr>
          <w:rFonts w:ascii="Arial" w:hAnsi="Arial" w:cs="Arial"/>
          <w:color w:val="000000" w:themeColor="text1"/>
        </w:rPr>
        <w:t>present for treatment</w:t>
      </w:r>
      <w:r w:rsidR="00FC4671" w:rsidRPr="005F1857">
        <w:rPr>
          <w:rFonts w:ascii="Arial" w:hAnsi="Arial" w:cs="Arial"/>
          <w:bCs/>
        </w:rPr>
        <w:t xml:space="preserve"> </w:t>
      </w:r>
      <w:r w:rsidR="00A111E8" w:rsidRPr="005F1857">
        <w:rPr>
          <w:rFonts w:ascii="Arial" w:hAnsi="Arial" w:cs="Arial"/>
          <w:bCs/>
        </w:rPr>
        <w:t>in initial infections</w:t>
      </w:r>
      <w:r w:rsidR="00C3722B" w:rsidRPr="005F1857">
        <w:rPr>
          <w:rFonts w:ascii="Arial" w:hAnsi="Arial" w:cs="Arial"/>
          <w:bCs/>
        </w:rPr>
        <w:t>: overall, in different age groups, and in different endemic regions</w:t>
      </w:r>
    </w:p>
    <w:p w14:paraId="3A0F7D25" w14:textId="76B807BC" w:rsidR="00374E88" w:rsidRDefault="00374E88" w:rsidP="002E37C7">
      <w:pPr>
        <w:pStyle w:val="ListParagraph"/>
        <w:numPr>
          <w:ilvl w:val="1"/>
          <w:numId w:val="4"/>
        </w:numPr>
        <w:spacing w:before="120" w:after="120" w:line="240" w:lineRule="auto"/>
        <w:rPr>
          <w:rFonts w:ascii="Arial" w:hAnsi="Arial" w:cs="Arial"/>
          <w:bCs/>
        </w:rPr>
      </w:pPr>
      <w:r w:rsidRPr="005F1857">
        <w:rPr>
          <w:rFonts w:ascii="Arial" w:hAnsi="Arial" w:cs="Arial"/>
          <w:bCs/>
        </w:rPr>
        <w:t xml:space="preserve">To estimate the </w:t>
      </w:r>
      <w:r w:rsidRPr="005F1857">
        <w:rPr>
          <w:rFonts w:ascii="Arial" w:hAnsi="Arial" w:cs="Arial"/>
          <w:bCs/>
          <w:i/>
          <w:iCs/>
        </w:rPr>
        <w:t xml:space="preserve">P. vivax </w:t>
      </w:r>
      <w:r w:rsidRPr="005F1857">
        <w:rPr>
          <w:rFonts w:ascii="Arial" w:hAnsi="Arial" w:cs="Arial"/>
          <w:bCs/>
        </w:rPr>
        <w:t xml:space="preserve">parasitaemia </w:t>
      </w:r>
      <w:r w:rsidR="00FC4671">
        <w:rPr>
          <w:rFonts w:ascii="Arial" w:hAnsi="Arial" w:cs="Arial"/>
          <w:color w:val="000000" w:themeColor="text1"/>
        </w:rPr>
        <w:t>threshold</w:t>
      </w:r>
      <w:r w:rsidR="008E4AB4">
        <w:rPr>
          <w:rFonts w:ascii="Arial" w:hAnsi="Arial" w:cs="Arial"/>
          <w:color w:val="000000" w:themeColor="text1"/>
        </w:rPr>
        <w:t>s</w:t>
      </w:r>
      <w:r w:rsidR="00FC4671">
        <w:rPr>
          <w:rFonts w:ascii="Arial" w:hAnsi="Arial" w:cs="Arial"/>
          <w:color w:val="000000" w:themeColor="text1"/>
        </w:rPr>
        <w:t xml:space="preserve"> </w:t>
      </w:r>
      <w:r w:rsidR="00FC4671" w:rsidRPr="00092B36">
        <w:rPr>
          <w:rFonts w:ascii="Arial" w:hAnsi="Arial" w:cs="Arial"/>
          <w:color w:val="000000" w:themeColor="text1"/>
        </w:rPr>
        <w:t xml:space="preserve">which </w:t>
      </w:r>
      <w:r w:rsidR="002D1265">
        <w:rPr>
          <w:rFonts w:ascii="Arial" w:hAnsi="Arial" w:cs="Arial"/>
          <w:color w:val="000000" w:themeColor="text1"/>
        </w:rPr>
        <w:t>capture percentages</w:t>
      </w:r>
      <w:r w:rsidR="00A82CEC">
        <w:rPr>
          <w:rFonts w:ascii="Arial" w:hAnsi="Arial" w:cs="Arial"/>
          <w:color w:val="000000" w:themeColor="text1"/>
        </w:rPr>
        <w:t xml:space="preserve"> of</w:t>
      </w:r>
      <w:r w:rsidR="00FC4671" w:rsidRPr="00092B36">
        <w:rPr>
          <w:rFonts w:ascii="Arial" w:hAnsi="Arial" w:cs="Arial"/>
          <w:color w:val="000000" w:themeColor="text1"/>
        </w:rPr>
        <w:t xml:space="preserve"> febrile patients </w:t>
      </w:r>
      <w:r w:rsidR="008E4AB4">
        <w:rPr>
          <w:rFonts w:ascii="Arial" w:hAnsi="Arial" w:cs="Arial"/>
          <w:color w:val="000000" w:themeColor="text1"/>
        </w:rPr>
        <w:t>at first recurrence</w:t>
      </w:r>
      <w:r>
        <w:rPr>
          <w:rFonts w:ascii="Arial" w:hAnsi="Arial" w:cs="Arial"/>
          <w:bCs/>
        </w:rPr>
        <w:t xml:space="preserve">: overall, </w:t>
      </w:r>
      <w:r w:rsidRPr="00334AF4">
        <w:rPr>
          <w:rFonts w:ascii="Arial" w:hAnsi="Arial" w:cs="Arial"/>
          <w:bCs/>
        </w:rPr>
        <w:t xml:space="preserve">in different age groups, </w:t>
      </w:r>
      <w:r>
        <w:rPr>
          <w:rFonts w:ascii="Arial" w:hAnsi="Arial" w:cs="Arial"/>
          <w:bCs/>
        </w:rPr>
        <w:t xml:space="preserve">different </w:t>
      </w:r>
      <w:r w:rsidRPr="00334AF4">
        <w:rPr>
          <w:rFonts w:ascii="Arial" w:hAnsi="Arial" w:cs="Arial"/>
          <w:bCs/>
        </w:rPr>
        <w:t xml:space="preserve">endemic regions, and </w:t>
      </w:r>
      <w:r w:rsidR="00A82CEC">
        <w:rPr>
          <w:rFonts w:ascii="Arial" w:hAnsi="Arial" w:cs="Arial"/>
          <w:bCs/>
        </w:rPr>
        <w:t>compared to the</w:t>
      </w:r>
      <w:r w:rsidRPr="00334AF4">
        <w:rPr>
          <w:rFonts w:ascii="Arial" w:hAnsi="Arial" w:cs="Arial"/>
          <w:bCs/>
        </w:rPr>
        <w:t xml:space="preserve"> second episode of recurrent parasitaemia</w:t>
      </w:r>
    </w:p>
    <w:p w14:paraId="6E7A75D0" w14:textId="77777777" w:rsidR="00C3722B" w:rsidRDefault="00C3722B" w:rsidP="00C3722B">
      <w:pPr>
        <w:pStyle w:val="ListParagraph"/>
        <w:spacing w:after="0" w:line="240" w:lineRule="auto"/>
        <w:rPr>
          <w:rFonts w:ascii="Arial" w:hAnsi="Arial" w:cs="Arial"/>
          <w:bCs/>
        </w:rPr>
      </w:pPr>
    </w:p>
    <w:p w14:paraId="46AD5C2C" w14:textId="5B7353C2" w:rsidR="00374E88" w:rsidRPr="00F224F8" w:rsidRDefault="00374E88" w:rsidP="00374E88">
      <w:pPr>
        <w:pStyle w:val="ListParagraph"/>
        <w:numPr>
          <w:ilvl w:val="0"/>
          <w:numId w:val="4"/>
        </w:numPr>
        <w:spacing w:after="0" w:line="240" w:lineRule="auto"/>
        <w:rPr>
          <w:rFonts w:ascii="Arial" w:hAnsi="Arial" w:cs="Arial"/>
          <w:bCs/>
          <w:color w:val="2E74B5" w:themeColor="accent5" w:themeShade="BF"/>
        </w:rPr>
      </w:pPr>
      <w:r w:rsidRPr="00F224F8">
        <w:rPr>
          <w:rFonts w:ascii="Arial" w:hAnsi="Arial" w:cs="Arial"/>
          <w:color w:val="2E74B5" w:themeColor="accent5" w:themeShade="BF"/>
        </w:rPr>
        <w:t>To i</w:t>
      </w:r>
      <w:r w:rsidR="00B07DED" w:rsidRPr="00F224F8">
        <w:rPr>
          <w:rFonts w:ascii="Arial" w:hAnsi="Arial" w:cs="Arial"/>
          <w:color w:val="2E74B5" w:themeColor="accent5" w:themeShade="BF"/>
        </w:rPr>
        <w:t>nform</w:t>
      </w:r>
      <w:r w:rsidRPr="00F224F8">
        <w:rPr>
          <w:rFonts w:ascii="Arial" w:hAnsi="Arial" w:cs="Arial"/>
          <w:color w:val="2E74B5" w:themeColor="accent5" w:themeShade="BF"/>
        </w:rPr>
        <w:t xml:space="preserve"> clinical and epidemiological understanding of the relationship between fever and </w:t>
      </w:r>
      <w:r w:rsidRPr="00F224F8">
        <w:rPr>
          <w:rFonts w:ascii="Arial" w:hAnsi="Arial" w:cs="Arial"/>
          <w:i/>
          <w:iCs/>
          <w:color w:val="2E74B5" w:themeColor="accent5" w:themeShade="BF"/>
        </w:rPr>
        <w:t xml:space="preserve">P. vivax </w:t>
      </w:r>
      <w:r w:rsidRPr="00F224F8">
        <w:rPr>
          <w:rFonts w:ascii="Arial" w:hAnsi="Arial" w:cs="Arial"/>
          <w:color w:val="2E74B5" w:themeColor="accent5" w:themeShade="BF"/>
        </w:rPr>
        <w:t>parasitaemia:</w:t>
      </w:r>
    </w:p>
    <w:p w14:paraId="6A2ED2F0" w14:textId="43D2A5C2" w:rsidR="00374E88" w:rsidRDefault="00157EE5" w:rsidP="00374E88">
      <w:pPr>
        <w:pStyle w:val="ListParagraph"/>
        <w:numPr>
          <w:ilvl w:val="1"/>
          <w:numId w:val="4"/>
        </w:numPr>
        <w:spacing w:after="0" w:line="240" w:lineRule="auto"/>
        <w:rPr>
          <w:rFonts w:ascii="Arial" w:hAnsi="Arial" w:cs="Arial"/>
          <w:bCs/>
        </w:rPr>
      </w:pPr>
      <w:r w:rsidRPr="00374E88">
        <w:rPr>
          <w:rFonts w:ascii="Arial" w:hAnsi="Arial" w:cs="Arial"/>
          <w:bCs/>
        </w:rPr>
        <w:t xml:space="preserve">To estimate the pyrogenic density of </w:t>
      </w:r>
      <w:r w:rsidRPr="00374E88">
        <w:rPr>
          <w:rFonts w:ascii="Arial" w:hAnsi="Arial" w:cs="Arial"/>
          <w:bCs/>
          <w:i/>
        </w:rPr>
        <w:t>P. vivax</w:t>
      </w:r>
      <w:r w:rsidRPr="00374E88">
        <w:rPr>
          <w:rFonts w:ascii="Arial" w:hAnsi="Arial" w:cs="Arial"/>
          <w:bCs/>
        </w:rPr>
        <w:t xml:space="preserve"> </w:t>
      </w:r>
      <w:r w:rsidR="00A82CEC">
        <w:rPr>
          <w:rFonts w:ascii="Arial" w:hAnsi="Arial" w:cs="Arial"/>
          <w:bCs/>
        </w:rPr>
        <w:t>at the first recurrent infection</w:t>
      </w:r>
      <w:r w:rsidR="00C3722B" w:rsidRPr="00374E88">
        <w:rPr>
          <w:rFonts w:ascii="Arial" w:hAnsi="Arial" w:cs="Arial"/>
          <w:bCs/>
        </w:rPr>
        <w:t xml:space="preserve">, overall, in different age groups, different endemic regions, and </w:t>
      </w:r>
      <w:r w:rsidR="00A82CEC">
        <w:rPr>
          <w:rFonts w:ascii="Arial" w:hAnsi="Arial" w:cs="Arial"/>
          <w:bCs/>
        </w:rPr>
        <w:t>compared to the second episode</w:t>
      </w:r>
      <w:r w:rsidR="00C3722B" w:rsidRPr="00374E88">
        <w:rPr>
          <w:rFonts w:ascii="Arial" w:hAnsi="Arial" w:cs="Arial"/>
          <w:bCs/>
        </w:rPr>
        <w:t xml:space="preserve"> of recurrent parasitaemia</w:t>
      </w:r>
    </w:p>
    <w:p w14:paraId="1EA05646" w14:textId="425919AE" w:rsidR="00157EE5" w:rsidRPr="00374E88" w:rsidRDefault="00157EE5" w:rsidP="2DA06710">
      <w:pPr>
        <w:pStyle w:val="ListParagraph"/>
        <w:numPr>
          <w:ilvl w:val="1"/>
          <w:numId w:val="4"/>
        </w:numPr>
        <w:spacing w:after="0" w:line="240" w:lineRule="auto"/>
        <w:rPr>
          <w:rFonts w:ascii="Arial" w:hAnsi="Arial" w:cs="Arial"/>
        </w:rPr>
      </w:pPr>
      <w:r w:rsidRPr="2DA06710">
        <w:rPr>
          <w:rFonts w:ascii="Arial" w:hAnsi="Arial" w:cs="Arial"/>
        </w:rPr>
        <w:t xml:space="preserve">To investigate which variables of interest are </w:t>
      </w:r>
      <w:r w:rsidR="1595116C" w:rsidRPr="2DA06710">
        <w:rPr>
          <w:rFonts w:ascii="Arial" w:hAnsi="Arial" w:cs="Arial"/>
        </w:rPr>
        <w:t>key determinants of</w:t>
      </w:r>
      <w:r w:rsidRPr="2DA06710">
        <w:rPr>
          <w:rFonts w:ascii="Arial" w:hAnsi="Arial" w:cs="Arial"/>
        </w:rPr>
        <w:t xml:space="preserve"> fever and/or a recent history of fever </w:t>
      </w:r>
      <w:r w:rsidR="00A82CEC">
        <w:rPr>
          <w:rFonts w:ascii="Arial" w:hAnsi="Arial" w:cs="Arial"/>
        </w:rPr>
        <w:t xml:space="preserve">at the first </w:t>
      </w:r>
      <w:r w:rsidRPr="2DA06710">
        <w:rPr>
          <w:rFonts w:ascii="Arial" w:hAnsi="Arial" w:cs="Arial"/>
          <w:i/>
          <w:iCs/>
        </w:rPr>
        <w:t>P. vivax</w:t>
      </w:r>
      <w:r w:rsidR="00A82CEC">
        <w:rPr>
          <w:rFonts w:ascii="Arial" w:hAnsi="Arial" w:cs="Arial"/>
        </w:rPr>
        <w:t xml:space="preserve"> recurrence</w:t>
      </w:r>
    </w:p>
    <w:p w14:paraId="081A6BB0" w14:textId="77777777" w:rsidR="00157EE5" w:rsidRDefault="00157EE5" w:rsidP="00157EE5">
      <w:pPr>
        <w:spacing w:after="0" w:line="240" w:lineRule="auto"/>
        <w:rPr>
          <w:rFonts w:ascii="Arial" w:hAnsi="Arial" w:cs="Arial"/>
        </w:rPr>
      </w:pPr>
    </w:p>
    <w:p w14:paraId="77BB1FBA" w14:textId="5D80C772" w:rsidR="00157EE5" w:rsidRDefault="00157EE5" w:rsidP="00157EE5">
      <w:pPr>
        <w:spacing w:after="0" w:line="240" w:lineRule="auto"/>
        <w:rPr>
          <w:rFonts w:ascii="Arial" w:hAnsi="Arial" w:cs="Arial"/>
          <w:color w:val="000000" w:themeColor="text1"/>
        </w:rPr>
      </w:pPr>
    </w:p>
    <w:p w14:paraId="307040FF" w14:textId="77777777" w:rsidR="00912116" w:rsidRDefault="00912116" w:rsidP="00157EE5">
      <w:pPr>
        <w:spacing w:after="0" w:line="240" w:lineRule="auto"/>
        <w:rPr>
          <w:rFonts w:ascii="Arial" w:hAnsi="Arial" w:cs="Arial"/>
          <w:b/>
          <w:bCs/>
          <w:color w:val="0070C0"/>
          <w:sz w:val="24"/>
          <w:szCs w:val="24"/>
        </w:rPr>
      </w:pPr>
    </w:p>
    <w:p w14:paraId="60BD2D90" w14:textId="77777777" w:rsidR="00157EE5" w:rsidRPr="00626459" w:rsidRDefault="00157EE5" w:rsidP="00157EE5">
      <w:pPr>
        <w:spacing w:after="0" w:line="240" w:lineRule="auto"/>
        <w:rPr>
          <w:rFonts w:ascii="Arial" w:hAnsi="Arial" w:cs="Arial"/>
          <w:b/>
          <w:bCs/>
          <w:color w:val="0070C0"/>
          <w:sz w:val="24"/>
          <w:szCs w:val="24"/>
        </w:rPr>
      </w:pPr>
      <w:r w:rsidRPr="00626459">
        <w:rPr>
          <w:rFonts w:ascii="Arial" w:hAnsi="Arial" w:cs="Arial"/>
          <w:b/>
          <w:bCs/>
          <w:color w:val="0070C0"/>
          <w:sz w:val="24"/>
          <w:szCs w:val="24"/>
        </w:rPr>
        <w:t>6.2   Study Endpoints</w:t>
      </w:r>
    </w:p>
    <w:p w14:paraId="5489C50D" w14:textId="6A1CFCC6" w:rsidR="00157EE5" w:rsidRDefault="00157EE5" w:rsidP="00157EE5">
      <w:pPr>
        <w:spacing w:after="0" w:line="240" w:lineRule="auto"/>
        <w:rPr>
          <w:rFonts w:ascii="Arial" w:hAnsi="Arial" w:cs="Arial"/>
          <w:iCs/>
          <w:color w:val="0070C0"/>
        </w:rPr>
      </w:pPr>
    </w:p>
    <w:p w14:paraId="751A32BC" w14:textId="77777777" w:rsidR="00B20A56" w:rsidRDefault="00B20A56" w:rsidP="00157EE5">
      <w:pPr>
        <w:spacing w:after="0" w:line="240" w:lineRule="auto"/>
        <w:rPr>
          <w:rFonts w:ascii="Arial" w:hAnsi="Arial" w:cs="Arial"/>
          <w:iCs/>
          <w:color w:val="0070C0"/>
        </w:rPr>
      </w:pPr>
    </w:p>
    <w:p w14:paraId="2A11502B" w14:textId="03BBCD62" w:rsidR="00EE60A4" w:rsidRPr="00380659" w:rsidRDefault="00EE60A4" w:rsidP="00EE60A4">
      <w:pPr>
        <w:spacing w:after="0" w:line="240" w:lineRule="auto"/>
        <w:rPr>
          <w:rFonts w:ascii="Arial" w:hAnsi="Arial" w:cs="Arial"/>
          <w:b/>
          <w:color w:val="0070C0"/>
        </w:rPr>
      </w:pPr>
      <w:r w:rsidRPr="00380659">
        <w:rPr>
          <w:rFonts w:ascii="Arial" w:hAnsi="Arial" w:cs="Arial"/>
          <w:b/>
          <w:color w:val="0070C0"/>
        </w:rPr>
        <w:t>Definitions</w:t>
      </w:r>
      <w:r>
        <w:rPr>
          <w:rFonts w:ascii="Arial" w:hAnsi="Arial" w:cs="Arial"/>
          <w:b/>
          <w:color w:val="0070C0"/>
        </w:rPr>
        <w:t>:</w:t>
      </w:r>
    </w:p>
    <w:p w14:paraId="753D59E2" w14:textId="77777777" w:rsidR="00EE60A4" w:rsidRDefault="00EE60A4" w:rsidP="00EE60A4">
      <w:pPr>
        <w:spacing w:after="0" w:line="240" w:lineRule="auto"/>
        <w:rPr>
          <w:rFonts w:ascii="Arial" w:hAnsi="Arial" w:cs="Arial"/>
        </w:rPr>
      </w:pPr>
    </w:p>
    <w:p w14:paraId="4DAE3241" w14:textId="77777777" w:rsidR="00EE60A4" w:rsidRDefault="00EE60A4" w:rsidP="00B20A56">
      <w:pPr>
        <w:spacing w:after="0" w:line="240" w:lineRule="auto"/>
        <w:ind w:left="720"/>
        <w:rPr>
          <w:rFonts w:ascii="Arial" w:hAnsi="Arial" w:cs="Arial"/>
        </w:rPr>
      </w:pPr>
      <w:r w:rsidRPr="00A67D61">
        <w:rPr>
          <w:rFonts w:ascii="Arial" w:hAnsi="Arial" w:cs="Arial"/>
          <w:i/>
          <w:color w:val="0070C0"/>
        </w:rPr>
        <w:t>Fever</w:t>
      </w:r>
      <w:r w:rsidRPr="00A67D61">
        <w:rPr>
          <w:rFonts w:ascii="Arial" w:hAnsi="Arial" w:cs="Arial"/>
          <w:color w:val="0070C0"/>
        </w:rPr>
        <w:t xml:space="preserve"> </w:t>
      </w:r>
      <w:r>
        <w:rPr>
          <w:rFonts w:ascii="Arial" w:hAnsi="Arial" w:cs="Arial"/>
        </w:rPr>
        <w:t>will be defined as a measured axillary temperature ≥37.5°C or tympanic, oral, or rectal temperature ≥38.0°C.</w:t>
      </w:r>
    </w:p>
    <w:p w14:paraId="2ECACAE5" w14:textId="77777777" w:rsidR="00EE60A4" w:rsidRDefault="00EE60A4" w:rsidP="00EE60A4">
      <w:pPr>
        <w:spacing w:after="0" w:line="240" w:lineRule="auto"/>
        <w:rPr>
          <w:rFonts w:ascii="Arial" w:hAnsi="Arial" w:cs="Arial"/>
        </w:rPr>
      </w:pPr>
    </w:p>
    <w:p w14:paraId="34D68085" w14:textId="77777777" w:rsidR="00EE60A4" w:rsidRDefault="00EE60A4" w:rsidP="00B20A56">
      <w:pPr>
        <w:spacing w:after="0" w:line="240" w:lineRule="auto"/>
        <w:ind w:left="720"/>
        <w:rPr>
          <w:rFonts w:ascii="Arial" w:hAnsi="Arial" w:cs="Arial"/>
        </w:rPr>
      </w:pPr>
      <w:r>
        <w:rPr>
          <w:rFonts w:ascii="Arial" w:hAnsi="Arial" w:cs="Arial"/>
          <w:i/>
          <w:color w:val="0070C0"/>
        </w:rPr>
        <w:t>Recent</w:t>
      </w:r>
      <w:r w:rsidRPr="00A67D61">
        <w:rPr>
          <w:rFonts w:ascii="Arial" w:hAnsi="Arial" w:cs="Arial"/>
          <w:i/>
          <w:color w:val="0070C0"/>
        </w:rPr>
        <w:t xml:space="preserve"> history of fever</w:t>
      </w:r>
      <w:r w:rsidRPr="00A67D61">
        <w:rPr>
          <w:rFonts w:ascii="Arial" w:hAnsi="Arial" w:cs="Arial"/>
          <w:color w:val="0070C0"/>
        </w:rPr>
        <w:t xml:space="preserve"> </w:t>
      </w:r>
      <w:r>
        <w:rPr>
          <w:rFonts w:ascii="Arial" w:hAnsi="Arial" w:cs="Arial"/>
        </w:rPr>
        <w:t>will be defined as participant-reported fever within the preceding 72 hours.</w:t>
      </w:r>
    </w:p>
    <w:p w14:paraId="0BAA948B" w14:textId="77777777" w:rsidR="00EE60A4" w:rsidRPr="00B34D43" w:rsidRDefault="00EE60A4" w:rsidP="00157EE5">
      <w:pPr>
        <w:spacing w:after="0" w:line="240" w:lineRule="auto"/>
        <w:rPr>
          <w:rFonts w:ascii="Arial" w:hAnsi="Arial" w:cs="Arial"/>
          <w:iCs/>
          <w:color w:val="0070C0"/>
        </w:rPr>
      </w:pPr>
    </w:p>
    <w:p w14:paraId="0BD264D4" w14:textId="77777777" w:rsidR="00B20A56" w:rsidRPr="00B20A56" w:rsidRDefault="00B20A56" w:rsidP="00157EE5">
      <w:pPr>
        <w:spacing w:after="0" w:line="240" w:lineRule="auto"/>
        <w:rPr>
          <w:rFonts w:ascii="Arial" w:hAnsi="Arial" w:cs="Arial"/>
          <w:iCs/>
          <w:color w:val="0070C0"/>
        </w:rPr>
      </w:pPr>
    </w:p>
    <w:p w14:paraId="44597876" w14:textId="3D5F3B0F" w:rsidR="00157EE5" w:rsidRPr="00B20A56" w:rsidRDefault="0018503F" w:rsidP="00157EE5">
      <w:pPr>
        <w:spacing w:after="0" w:line="240" w:lineRule="auto"/>
        <w:rPr>
          <w:rFonts w:ascii="Arial" w:hAnsi="Arial" w:cs="Arial"/>
          <w:b/>
          <w:bCs/>
          <w:iCs/>
          <w:color w:val="0070C0"/>
        </w:rPr>
      </w:pPr>
      <w:r>
        <w:rPr>
          <w:rFonts w:ascii="Arial" w:hAnsi="Arial" w:cs="Arial"/>
          <w:b/>
          <w:bCs/>
          <w:iCs/>
          <w:color w:val="0070C0"/>
        </w:rPr>
        <w:t>Study E</w:t>
      </w:r>
      <w:r w:rsidR="00157EE5" w:rsidRPr="00B20A56">
        <w:rPr>
          <w:rFonts w:ascii="Arial" w:hAnsi="Arial" w:cs="Arial"/>
          <w:b/>
          <w:bCs/>
          <w:iCs/>
          <w:color w:val="0070C0"/>
        </w:rPr>
        <w:t>ndpoint</w:t>
      </w:r>
      <w:r>
        <w:rPr>
          <w:rFonts w:ascii="Arial" w:hAnsi="Arial" w:cs="Arial"/>
          <w:b/>
          <w:bCs/>
          <w:iCs/>
          <w:color w:val="0070C0"/>
        </w:rPr>
        <w:t>s</w:t>
      </w:r>
      <w:r w:rsidR="00157EE5" w:rsidRPr="00B20A56">
        <w:rPr>
          <w:rFonts w:ascii="Arial" w:hAnsi="Arial" w:cs="Arial"/>
          <w:b/>
          <w:bCs/>
          <w:iCs/>
          <w:color w:val="0070C0"/>
        </w:rPr>
        <w:t xml:space="preserve">: </w:t>
      </w:r>
    </w:p>
    <w:p w14:paraId="3811CB57" w14:textId="77777777" w:rsidR="0018503F" w:rsidRDefault="0018503F" w:rsidP="00157EE5">
      <w:pPr>
        <w:spacing w:after="0" w:line="240" w:lineRule="auto"/>
        <w:rPr>
          <w:rFonts w:ascii="Arial" w:hAnsi="Arial" w:cs="Arial"/>
        </w:rPr>
      </w:pPr>
    </w:p>
    <w:p w14:paraId="5D65361F" w14:textId="00770CD8" w:rsidR="00374E88" w:rsidRPr="00374E88" w:rsidRDefault="00374E88" w:rsidP="00F81244">
      <w:pPr>
        <w:spacing w:after="0" w:line="240" w:lineRule="auto"/>
        <w:ind w:firstLine="720"/>
        <w:rPr>
          <w:rFonts w:ascii="Arial" w:hAnsi="Arial" w:cs="Arial"/>
          <w:color w:val="2E74B5" w:themeColor="accent5" w:themeShade="BF"/>
        </w:rPr>
      </w:pPr>
      <w:r w:rsidRPr="00374E88">
        <w:rPr>
          <w:rFonts w:ascii="Arial" w:hAnsi="Arial" w:cs="Arial"/>
          <w:color w:val="2E74B5" w:themeColor="accent5" w:themeShade="BF"/>
        </w:rPr>
        <w:t>Objective 1:</w:t>
      </w:r>
    </w:p>
    <w:p w14:paraId="6B97B5A7" w14:textId="215F3AF3" w:rsidR="00F81244" w:rsidRDefault="00F81244" w:rsidP="00F81244">
      <w:pPr>
        <w:spacing w:after="0" w:line="240" w:lineRule="auto"/>
        <w:ind w:firstLine="720"/>
        <w:rPr>
          <w:rFonts w:ascii="Arial" w:hAnsi="Arial" w:cs="Arial"/>
        </w:rPr>
      </w:pPr>
      <w:r w:rsidRPr="0018503F">
        <w:rPr>
          <w:rFonts w:ascii="Arial" w:hAnsi="Arial" w:cs="Arial"/>
        </w:rPr>
        <w:t>Peripheral asexual parasitaemia as measured by microscopy</w:t>
      </w:r>
      <w:r>
        <w:rPr>
          <w:rFonts w:ascii="Arial" w:hAnsi="Arial" w:cs="Arial"/>
        </w:rPr>
        <w:t>.</w:t>
      </w:r>
    </w:p>
    <w:p w14:paraId="5E229958" w14:textId="72346C98" w:rsidR="00F81244" w:rsidRDefault="00F81244" w:rsidP="0018503F">
      <w:pPr>
        <w:spacing w:after="0" w:line="240" w:lineRule="auto"/>
        <w:ind w:firstLine="720"/>
        <w:rPr>
          <w:rFonts w:ascii="Arial" w:hAnsi="Arial" w:cs="Arial"/>
        </w:rPr>
      </w:pPr>
    </w:p>
    <w:p w14:paraId="6036F0EA" w14:textId="34D4F5E2" w:rsidR="00374E88" w:rsidRPr="00374E88" w:rsidRDefault="00374E88" w:rsidP="0018503F">
      <w:pPr>
        <w:spacing w:after="0" w:line="240" w:lineRule="auto"/>
        <w:ind w:firstLine="720"/>
        <w:rPr>
          <w:rFonts w:ascii="Arial" w:hAnsi="Arial" w:cs="Arial"/>
          <w:color w:val="2E74B5" w:themeColor="accent5" w:themeShade="BF"/>
        </w:rPr>
      </w:pPr>
      <w:r w:rsidRPr="00374E88">
        <w:rPr>
          <w:rFonts w:ascii="Arial" w:hAnsi="Arial" w:cs="Arial"/>
          <w:color w:val="2E74B5" w:themeColor="accent5" w:themeShade="BF"/>
        </w:rPr>
        <w:t>Objective 2:</w:t>
      </w:r>
    </w:p>
    <w:p w14:paraId="376F208F" w14:textId="040565E4" w:rsidR="00157EE5" w:rsidRPr="003372D7" w:rsidRDefault="00157EE5" w:rsidP="0018503F">
      <w:pPr>
        <w:spacing w:after="0" w:line="240" w:lineRule="auto"/>
        <w:ind w:firstLine="720"/>
        <w:rPr>
          <w:rFonts w:ascii="Arial" w:hAnsi="Arial" w:cs="Arial"/>
          <w:i/>
          <w:color w:val="0070C0"/>
        </w:rPr>
      </w:pPr>
      <w:r>
        <w:rPr>
          <w:rFonts w:ascii="Arial" w:hAnsi="Arial" w:cs="Arial"/>
        </w:rPr>
        <w:t>The p</w:t>
      </w:r>
      <w:r w:rsidRPr="001E1BBE">
        <w:rPr>
          <w:rFonts w:ascii="Arial" w:hAnsi="Arial" w:cs="Arial"/>
        </w:rPr>
        <w:t xml:space="preserve">resence of a fever and/or a </w:t>
      </w:r>
      <w:r>
        <w:rPr>
          <w:rFonts w:ascii="Arial" w:hAnsi="Arial" w:cs="Arial"/>
        </w:rPr>
        <w:t>recent</w:t>
      </w:r>
      <w:r w:rsidRPr="001E1BBE">
        <w:rPr>
          <w:rFonts w:ascii="Arial" w:hAnsi="Arial" w:cs="Arial"/>
        </w:rPr>
        <w:t xml:space="preserve"> history of fever</w:t>
      </w:r>
      <w:r>
        <w:rPr>
          <w:rFonts w:ascii="Arial" w:hAnsi="Arial" w:cs="Arial"/>
        </w:rPr>
        <w:t>.</w:t>
      </w:r>
    </w:p>
    <w:p w14:paraId="3D40D1AF" w14:textId="77777777" w:rsidR="00157EE5" w:rsidRPr="001E1BBE" w:rsidRDefault="00157EE5" w:rsidP="00157EE5">
      <w:pPr>
        <w:spacing w:after="0" w:line="240" w:lineRule="auto"/>
        <w:rPr>
          <w:rFonts w:ascii="Arial" w:hAnsi="Arial" w:cs="Arial"/>
        </w:rPr>
      </w:pPr>
    </w:p>
    <w:p w14:paraId="6ACCDB4F" w14:textId="0253EDF3" w:rsidR="00001CD2" w:rsidRDefault="00001CD2" w:rsidP="00001CD2">
      <w:pPr>
        <w:spacing w:after="0" w:line="240" w:lineRule="auto"/>
        <w:rPr>
          <w:rFonts w:ascii="Arial" w:hAnsi="Arial" w:cs="Arial"/>
        </w:rPr>
      </w:pPr>
    </w:p>
    <w:p w14:paraId="68DC31E1" w14:textId="77777777" w:rsidR="00001CD2" w:rsidRPr="00001CD2" w:rsidRDefault="00001CD2" w:rsidP="00001CD2">
      <w:pPr>
        <w:spacing w:after="0" w:line="240" w:lineRule="auto"/>
        <w:rPr>
          <w:rFonts w:ascii="Arial" w:hAnsi="Arial" w:cs="Arial"/>
        </w:rPr>
      </w:pPr>
    </w:p>
    <w:p w14:paraId="7924BD8D" w14:textId="77777777" w:rsidR="00157EE5" w:rsidRDefault="00157EE5" w:rsidP="00157EE5">
      <w:pPr>
        <w:spacing w:after="0" w:line="240" w:lineRule="auto"/>
        <w:rPr>
          <w:rFonts w:ascii="Arial" w:hAnsi="Arial" w:cs="Arial"/>
        </w:rPr>
      </w:pPr>
    </w:p>
    <w:p w14:paraId="3B865494" w14:textId="699DF8DC" w:rsidR="00157EE5" w:rsidRPr="003D418D" w:rsidRDefault="00157EE5" w:rsidP="00157EE5">
      <w:pPr>
        <w:spacing w:after="0" w:line="240" w:lineRule="auto"/>
        <w:rPr>
          <w:rFonts w:ascii="Arial" w:hAnsi="Arial" w:cs="Arial"/>
          <w:b/>
          <w:bCs/>
          <w:color w:val="0070C0"/>
          <w:sz w:val="24"/>
          <w:szCs w:val="24"/>
        </w:rPr>
      </w:pPr>
      <w:r>
        <w:rPr>
          <w:rFonts w:ascii="Arial" w:hAnsi="Arial" w:cs="Arial"/>
          <w:b/>
          <w:bCs/>
          <w:color w:val="0070C0"/>
          <w:sz w:val="24"/>
          <w:szCs w:val="24"/>
        </w:rPr>
        <w:br w:type="page"/>
      </w:r>
      <w:r w:rsidRPr="00626459">
        <w:rPr>
          <w:rFonts w:ascii="Arial" w:hAnsi="Arial" w:cs="Arial"/>
          <w:b/>
          <w:bCs/>
          <w:color w:val="0070C0"/>
          <w:sz w:val="24"/>
          <w:szCs w:val="24"/>
        </w:rPr>
        <w:lastRenderedPageBreak/>
        <w:t>6.</w:t>
      </w:r>
      <w:r>
        <w:rPr>
          <w:rFonts w:ascii="Arial" w:hAnsi="Arial" w:cs="Arial"/>
          <w:b/>
          <w:bCs/>
          <w:color w:val="0070C0"/>
          <w:sz w:val="24"/>
          <w:szCs w:val="24"/>
        </w:rPr>
        <w:t>3</w:t>
      </w:r>
      <w:r w:rsidRPr="00626459">
        <w:rPr>
          <w:rFonts w:ascii="Arial" w:hAnsi="Arial" w:cs="Arial"/>
          <w:b/>
          <w:bCs/>
          <w:color w:val="0070C0"/>
          <w:sz w:val="24"/>
          <w:szCs w:val="24"/>
        </w:rPr>
        <w:t xml:space="preserve"> Summary of Statistical Analyses</w:t>
      </w:r>
    </w:p>
    <w:p w14:paraId="0F04DB80" w14:textId="77777777" w:rsidR="003A5058" w:rsidRDefault="003A5058" w:rsidP="00157EE5">
      <w:pPr>
        <w:spacing w:after="0" w:line="240" w:lineRule="auto"/>
        <w:rPr>
          <w:rFonts w:ascii="Arial" w:hAnsi="Arial" w:cs="Arial"/>
          <w:b/>
          <w:color w:val="0070C0"/>
          <w:sz w:val="24"/>
          <w:szCs w:val="24"/>
        </w:rPr>
      </w:pPr>
    </w:p>
    <w:p w14:paraId="29FC958D" w14:textId="77777777" w:rsidR="002172F7" w:rsidRDefault="002172F7" w:rsidP="00157EE5">
      <w:pPr>
        <w:spacing w:after="0" w:line="240" w:lineRule="auto"/>
        <w:rPr>
          <w:rFonts w:ascii="Arial" w:hAnsi="Arial" w:cs="Arial"/>
          <w:b/>
          <w:color w:val="0070C0"/>
          <w:sz w:val="24"/>
          <w:szCs w:val="24"/>
        </w:rPr>
      </w:pPr>
    </w:p>
    <w:p w14:paraId="18F39D6D" w14:textId="77777777" w:rsidR="002172F7" w:rsidRDefault="002172F7" w:rsidP="00157EE5">
      <w:pPr>
        <w:spacing w:after="0" w:line="240" w:lineRule="auto"/>
        <w:rPr>
          <w:rFonts w:ascii="Arial" w:hAnsi="Arial" w:cs="Arial"/>
          <w:b/>
          <w:color w:val="0070C0"/>
          <w:sz w:val="24"/>
          <w:szCs w:val="24"/>
        </w:rPr>
      </w:pPr>
    </w:p>
    <w:p w14:paraId="3BD9E835" w14:textId="5A01FA7E" w:rsidR="00157EE5" w:rsidRPr="009A3F88" w:rsidRDefault="00157EE5" w:rsidP="00157EE5">
      <w:pPr>
        <w:spacing w:after="0" w:line="240" w:lineRule="auto"/>
        <w:rPr>
          <w:rFonts w:ascii="Arial" w:hAnsi="Arial" w:cs="Arial"/>
          <w:b/>
          <w:color w:val="0070C0"/>
          <w:sz w:val="24"/>
          <w:szCs w:val="24"/>
        </w:rPr>
      </w:pPr>
      <w:r w:rsidRPr="009A3F88">
        <w:rPr>
          <w:rFonts w:ascii="Arial" w:hAnsi="Arial" w:cs="Arial"/>
          <w:b/>
          <w:color w:val="0070C0"/>
          <w:sz w:val="24"/>
          <w:szCs w:val="24"/>
        </w:rPr>
        <w:t>6.</w:t>
      </w:r>
      <w:r>
        <w:rPr>
          <w:rFonts w:ascii="Arial" w:hAnsi="Arial" w:cs="Arial"/>
          <w:b/>
          <w:color w:val="0070C0"/>
          <w:sz w:val="24"/>
          <w:szCs w:val="24"/>
        </w:rPr>
        <w:t>3</w:t>
      </w:r>
      <w:r w:rsidRPr="009A3F88">
        <w:rPr>
          <w:rFonts w:ascii="Arial" w:hAnsi="Arial" w:cs="Arial"/>
          <w:b/>
          <w:color w:val="0070C0"/>
          <w:sz w:val="24"/>
          <w:szCs w:val="24"/>
        </w:rPr>
        <w:t>.1   Summary Study Profile</w:t>
      </w:r>
      <w:r w:rsidR="0000500D">
        <w:rPr>
          <w:rFonts w:ascii="Arial" w:hAnsi="Arial" w:cs="Arial"/>
          <w:b/>
          <w:color w:val="0070C0"/>
          <w:sz w:val="24"/>
          <w:szCs w:val="24"/>
        </w:rPr>
        <w:t>s</w:t>
      </w:r>
    </w:p>
    <w:p w14:paraId="31AE1D49" w14:textId="77777777" w:rsidR="00157EE5" w:rsidRPr="009A3F88" w:rsidRDefault="00157EE5" w:rsidP="00157EE5">
      <w:pPr>
        <w:autoSpaceDE w:val="0"/>
        <w:autoSpaceDN w:val="0"/>
        <w:adjustRightInd w:val="0"/>
        <w:spacing w:after="0" w:line="240" w:lineRule="auto"/>
        <w:rPr>
          <w:rFonts w:ascii="Arial" w:hAnsi="Arial" w:cs="Arial"/>
          <w:color w:val="0070C0"/>
          <w:sz w:val="24"/>
          <w:szCs w:val="24"/>
        </w:rPr>
      </w:pPr>
    </w:p>
    <w:p w14:paraId="7FA63FCC" w14:textId="77777777" w:rsidR="00157EE5" w:rsidRDefault="00157EE5" w:rsidP="00157EE5">
      <w:pPr>
        <w:autoSpaceDE w:val="0"/>
        <w:autoSpaceDN w:val="0"/>
        <w:adjustRightInd w:val="0"/>
        <w:spacing w:after="0" w:line="240" w:lineRule="auto"/>
        <w:rPr>
          <w:rFonts w:ascii="Arial" w:hAnsi="Arial" w:cs="Arial"/>
          <w:color w:val="000000"/>
        </w:rPr>
      </w:pPr>
      <w:r w:rsidRPr="002C6C1F">
        <w:rPr>
          <w:rFonts w:ascii="Arial" w:hAnsi="Arial" w:cs="Arial"/>
          <w:color w:val="000000"/>
        </w:rPr>
        <w:t xml:space="preserve">A summary study profile of the </w:t>
      </w:r>
      <w:r>
        <w:rPr>
          <w:rFonts w:ascii="Arial" w:hAnsi="Arial" w:cs="Arial"/>
          <w:color w:val="000000"/>
        </w:rPr>
        <w:t>prospective clinical efficacy studies</w:t>
      </w:r>
      <w:r w:rsidRPr="002C6C1F">
        <w:rPr>
          <w:rFonts w:ascii="Arial" w:hAnsi="Arial" w:cs="Arial"/>
          <w:color w:val="000000"/>
        </w:rPr>
        <w:t xml:space="preserve"> will be presented to highlight potential selection bias.</w:t>
      </w:r>
      <w:r>
        <w:rPr>
          <w:rFonts w:ascii="Arial" w:hAnsi="Arial" w:cs="Arial"/>
          <w:color w:val="000000"/>
        </w:rPr>
        <w:t xml:space="preserve"> This will </w:t>
      </w:r>
      <w:r w:rsidRPr="002C6C1F">
        <w:rPr>
          <w:rFonts w:ascii="Arial" w:hAnsi="Arial" w:cs="Arial"/>
          <w:color w:val="000000"/>
        </w:rPr>
        <w:t>includ</w:t>
      </w:r>
      <w:r>
        <w:rPr>
          <w:rFonts w:ascii="Arial" w:hAnsi="Arial" w:cs="Arial"/>
          <w:color w:val="000000"/>
        </w:rPr>
        <w:t>e</w:t>
      </w:r>
      <w:r w:rsidRPr="002C6C1F">
        <w:rPr>
          <w:rFonts w:ascii="Arial" w:hAnsi="Arial" w:cs="Arial"/>
          <w:color w:val="000000"/>
        </w:rPr>
        <w:t xml:space="preserve"> (but not </w:t>
      </w:r>
      <w:r>
        <w:rPr>
          <w:rFonts w:ascii="Arial" w:hAnsi="Arial" w:cs="Arial"/>
          <w:color w:val="000000"/>
        </w:rPr>
        <w:t xml:space="preserve">be </w:t>
      </w:r>
      <w:r w:rsidRPr="002C6C1F">
        <w:rPr>
          <w:rFonts w:ascii="Arial" w:hAnsi="Arial" w:cs="Arial"/>
          <w:color w:val="000000"/>
        </w:rPr>
        <w:t>restricted to)</w:t>
      </w:r>
      <w:r>
        <w:rPr>
          <w:rFonts w:ascii="Arial" w:hAnsi="Arial" w:cs="Arial"/>
          <w:color w:val="000000"/>
        </w:rPr>
        <w:t>:</w:t>
      </w:r>
    </w:p>
    <w:p w14:paraId="27EA83D9" w14:textId="77777777"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Country</w:t>
      </w:r>
    </w:p>
    <w:p w14:paraId="6AD0F6B8" w14:textId="77777777"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Region</w:t>
      </w:r>
    </w:p>
    <w:p w14:paraId="6D95D758" w14:textId="562050AE"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Estimated regional transmission intensity or parasite prevalence</w:t>
      </w:r>
      <w:r w:rsidR="00661195">
        <w:rPr>
          <w:rFonts w:ascii="Arial" w:hAnsi="Arial" w:cs="Arial"/>
          <w:color w:val="000000"/>
          <w:vertAlign w:val="superscript"/>
        </w:rPr>
        <w:t>10</w:t>
      </w:r>
      <w:r>
        <w:rPr>
          <w:rFonts w:ascii="Arial" w:hAnsi="Arial" w:cs="Arial"/>
          <w:color w:val="000000"/>
        </w:rPr>
        <w:t>/relapse periodicity</w:t>
      </w:r>
      <w:r>
        <w:rPr>
          <w:rFonts w:ascii="Arial" w:hAnsi="Arial" w:cs="Arial"/>
          <w:color w:val="000000"/>
          <w:vertAlign w:val="superscript"/>
        </w:rPr>
        <w:t>1</w:t>
      </w:r>
      <w:r w:rsidR="00661195">
        <w:rPr>
          <w:rFonts w:ascii="Arial" w:hAnsi="Arial" w:cs="Arial"/>
          <w:color w:val="000000"/>
          <w:vertAlign w:val="superscript"/>
        </w:rPr>
        <w:t>1</w:t>
      </w:r>
    </w:p>
    <w:p w14:paraId="6720CADF" w14:textId="77777777"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Year</w:t>
      </w:r>
    </w:p>
    <w:p w14:paraId="7013BB27" w14:textId="635E3881"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Study</w:t>
      </w:r>
      <w:r w:rsidRPr="005A3109">
        <w:rPr>
          <w:rFonts w:ascii="Arial" w:hAnsi="Arial" w:cs="Arial"/>
          <w:color w:val="000000"/>
        </w:rPr>
        <w:t xml:space="preserve"> population</w:t>
      </w:r>
      <w:r>
        <w:rPr>
          <w:rFonts w:ascii="Arial" w:hAnsi="Arial" w:cs="Arial"/>
          <w:color w:val="000000"/>
        </w:rPr>
        <w:t xml:space="preserve"> e.g. age, sex</w:t>
      </w:r>
    </w:p>
    <w:p w14:paraId="30AA9E15" w14:textId="0C5A0C85" w:rsidR="00F319FB" w:rsidRDefault="00F319FB"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Microscopy quality assurance information available</w:t>
      </w:r>
    </w:p>
    <w:p w14:paraId="3FFFC7D2" w14:textId="77777777" w:rsidR="00157EE5" w:rsidRDefault="00157EE5" w:rsidP="00607A87">
      <w:pPr>
        <w:pStyle w:val="ListParagraph"/>
        <w:numPr>
          <w:ilvl w:val="0"/>
          <w:numId w:val="6"/>
        </w:numPr>
        <w:autoSpaceDE w:val="0"/>
        <w:autoSpaceDN w:val="0"/>
        <w:adjustRightInd w:val="0"/>
        <w:spacing w:after="0" w:line="240" w:lineRule="auto"/>
        <w:rPr>
          <w:rFonts w:ascii="Arial" w:hAnsi="Arial" w:cs="Arial"/>
        </w:rPr>
      </w:pPr>
      <w:r w:rsidRPr="004F6D16">
        <w:rPr>
          <w:rFonts w:ascii="Arial" w:hAnsi="Arial" w:cs="Arial"/>
        </w:rPr>
        <w:t>Schizontocidal treatment administered</w:t>
      </w:r>
    </w:p>
    <w:p w14:paraId="52A1987B" w14:textId="60929F42" w:rsidR="00157EE5" w:rsidRPr="004F6D16" w:rsidRDefault="00157EE5" w:rsidP="00607A87">
      <w:pPr>
        <w:pStyle w:val="ListParagraph"/>
        <w:numPr>
          <w:ilvl w:val="0"/>
          <w:numId w:val="6"/>
        </w:numPr>
        <w:autoSpaceDE w:val="0"/>
        <w:autoSpaceDN w:val="0"/>
        <w:adjustRightInd w:val="0"/>
        <w:spacing w:after="0" w:line="240" w:lineRule="auto"/>
        <w:rPr>
          <w:rFonts w:ascii="Arial" w:hAnsi="Arial" w:cs="Arial"/>
        </w:rPr>
      </w:pPr>
      <w:r w:rsidRPr="004F6D16">
        <w:rPr>
          <w:rFonts w:ascii="Arial" w:hAnsi="Arial" w:cs="Arial"/>
        </w:rPr>
        <w:t>8-aminoquinol</w:t>
      </w:r>
      <w:r w:rsidR="007B5BB8">
        <w:rPr>
          <w:rFonts w:ascii="Arial" w:hAnsi="Arial" w:cs="Arial"/>
        </w:rPr>
        <w:t>i</w:t>
      </w:r>
      <w:r w:rsidRPr="004F6D16">
        <w:rPr>
          <w:rFonts w:ascii="Arial" w:hAnsi="Arial" w:cs="Arial"/>
        </w:rPr>
        <w:t>ne treatment administered</w:t>
      </w:r>
    </w:p>
    <w:p w14:paraId="1C6394AE" w14:textId="77777777"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Follow-up duration</w:t>
      </w:r>
    </w:p>
    <w:p w14:paraId="334BA390" w14:textId="77777777" w:rsidR="00157EE5" w:rsidRDefault="00157EE5" w:rsidP="00607A87">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Active and/or passive case detection during follow-up</w:t>
      </w:r>
    </w:p>
    <w:p w14:paraId="4E29B4C3" w14:textId="75BD863C" w:rsidR="00157EE5" w:rsidRPr="00A24B25" w:rsidRDefault="00157EE5" w:rsidP="00607A87">
      <w:pPr>
        <w:pStyle w:val="ListParagraph"/>
        <w:numPr>
          <w:ilvl w:val="0"/>
          <w:numId w:val="6"/>
        </w:numPr>
        <w:autoSpaceDE w:val="0"/>
        <w:autoSpaceDN w:val="0"/>
        <w:adjustRightInd w:val="0"/>
        <w:spacing w:after="0" w:line="240" w:lineRule="auto"/>
        <w:rPr>
          <w:rFonts w:ascii="Arial" w:hAnsi="Arial" w:cs="Arial"/>
        </w:rPr>
      </w:pPr>
      <w:r w:rsidRPr="006D69FE">
        <w:rPr>
          <w:rFonts w:ascii="Arial" w:hAnsi="Arial" w:cs="Arial"/>
          <w:color w:val="000000"/>
        </w:rPr>
        <w:t>P</w:t>
      </w:r>
      <w:r>
        <w:rPr>
          <w:rFonts w:ascii="Arial" w:hAnsi="Arial" w:cs="Arial"/>
          <w:color w:val="000000"/>
        </w:rPr>
        <w:t>roportion of recurrent episodes of parasitaemia associated with</w:t>
      </w:r>
      <w:r w:rsidRPr="006D69FE">
        <w:rPr>
          <w:rFonts w:ascii="Arial" w:hAnsi="Arial" w:cs="Arial"/>
          <w:color w:val="000000"/>
        </w:rPr>
        <w:t xml:space="preserve"> fever and/or a </w:t>
      </w:r>
      <w:r w:rsidRPr="00A24B25">
        <w:rPr>
          <w:rFonts w:ascii="Arial" w:hAnsi="Arial" w:cs="Arial"/>
        </w:rPr>
        <w:t>recent history of fever</w:t>
      </w:r>
    </w:p>
    <w:p w14:paraId="02D3A39C" w14:textId="3451425E" w:rsidR="002A7E10" w:rsidRPr="00A24B25" w:rsidRDefault="002A7E10" w:rsidP="002A7E10">
      <w:pPr>
        <w:autoSpaceDE w:val="0"/>
        <w:autoSpaceDN w:val="0"/>
        <w:adjustRightInd w:val="0"/>
        <w:spacing w:after="0" w:line="240" w:lineRule="auto"/>
        <w:rPr>
          <w:rFonts w:ascii="Arial" w:hAnsi="Arial" w:cs="Arial"/>
        </w:rPr>
      </w:pPr>
    </w:p>
    <w:p w14:paraId="2C6BEF75" w14:textId="3964C905" w:rsidR="002A7E10" w:rsidRPr="00A24B25" w:rsidRDefault="002A7E10" w:rsidP="002A7E10">
      <w:pPr>
        <w:autoSpaceDE w:val="0"/>
        <w:autoSpaceDN w:val="0"/>
        <w:adjustRightInd w:val="0"/>
        <w:spacing w:after="0" w:line="240" w:lineRule="auto"/>
        <w:rPr>
          <w:rFonts w:ascii="Arial" w:hAnsi="Arial" w:cs="Arial"/>
        </w:rPr>
      </w:pPr>
      <w:r w:rsidRPr="00A24B25">
        <w:rPr>
          <w:rFonts w:ascii="Arial" w:hAnsi="Arial" w:cs="Arial"/>
          <w:shd w:val="clear" w:color="auto" w:fill="FFFFFF"/>
        </w:rPr>
        <w:t>A summary of included studies compared to potential studies will also be presented to highlight potential selection bias, and as part of the statistical analysis a sensitivity analysis will be undertaken to identify bias related to individual studies.</w:t>
      </w:r>
    </w:p>
    <w:p w14:paraId="76897A0B" w14:textId="77777777" w:rsidR="003A5058" w:rsidRDefault="003A5058" w:rsidP="003074D6">
      <w:pPr>
        <w:pStyle w:val="Default"/>
        <w:rPr>
          <w:rFonts w:ascii="Arial" w:hAnsi="Arial" w:cs="Arial"/>
          <w:b/>
          <w:color w:val="0070C0"/>
        </w:rPr>
      </w:pPr>
    </w:p>
    <w:p w14:paraId="5FBBA0AA" w14:textId="77777777" w:rsidR="002172F7" w:rsidRDefault="002172F7" w:rsidP="003074D6">
      <w:pPr>
        <w:pStyle w:val="Default"/>
        <w:rPr>
          <w:rFonts w:ascii="Arial" w:hAnsi="Arial" w:cs="Arial"/>
          <w:b/>
          <w:color w:val="0070C0"/>
        </w:rPr>
      </w:pPr>
    </w:p>
    <w:p w14:paraId="3B22801A" w14:textId="77777777" w:rsidR="002172F7" w:rsidRDefault="002172F7" w:rsidP="003074D6">
      <w:pPr>
        <w:pStyle w:val="Default"/>
        <w:rPr>
          <w:rFonts w:ascii="Arial" w:hAnsi="Arial" w:cs="Arial"/>
          <w:b/>
          <w:color w:val="0070C0"/>
        </w:rPr>
      </w:pPr>
    </w:p>
    <w:p w14:paraId="54D57167" w14:textId="77777777" w:rsidR="002172F7" w:rsidRDefault="002172F7" w:rsidP="003074D6">
      <w:pPr>
        <w:pStyle w:val="Default"/>
        <w:rPr>
          <w:rFonts w:ascii="Arial" w:hAnsi="Arial" w:cs="Arial"/>
          <w:b/>
          <w:color w:val="0070C0"/>
        </w:rPr>
      </w:pPr>
    </w:p>
    <w:p w14:paraId="29636F0D" w14:textId="77777777" w:rsidR="002172F7" w:rsidRDefault="002172F7" w:rsidP="003074D6">
      <w:pPr>
        <w:pStyle w:val="Default"/>
        <w:rPr>
          <w:rFonts w:ascii="Arial" w:hAnsi="Arial" w:cs="Arial"/>
          <w:b/>
          <w:color w:val="0070C0"/>
        </w:rPr>
      </w:pPr>
    </w:p>
    <w:p w14:paraId="58712445" w14:textId="77777777" w:rsidR="002172F7" w:rsidRDefault="002172F7" w:rsidP="003074D6">
      <w:pPr>
        <w:pStyle w:val="Default"/>
        <w:rPr>
          <w:rFonts w:ascii="Arial" w:hAnsi="Arial" w:cs="Arial"/>
          <w:b/>
          <w:color w:val="0070C0"/>
        </w:rPr>
      </w:pPr>
    </w:p>
    <w:p w14:paraId="3BE83EA1" w14:textId="77777777" w:rsidR="002172F7" w:rsidRDefault="002172F7" w:rsidP="003074D6">
      <w:pPr>
        <w:pStyle w:val="Default"/>
        <w:rPr>
          <w:rFonts w:ascii="Arial" w:hAnsi="Arial" w:cs="Arial"/>
          <w:b/>
          <w:color w:val="0070C0"/>
        </w:rPr>
      </w:pPr>
    </w:p>
    <w:p w14:paraId="67D12D13" w14:textId="7F98BCB7" w:rsidR="003074D6" w:rsidRPr="00F63590" w:rsidRDefault="003074D6" w:rsidP="003074D6">
      <w:pPr>
        <w:pStyle w:val="Default"/>
        <w:rPr>
          <w:rFonts w:ascii="Arial" w:hAnsi="Arial" w:cs="Arial"/>
          <w:b/>
          <w:color w:val="0070C0"/>
        </w:rPr>
      </w:pPr>
      <w:r>
        <w:rPr>
          <w:rFonts w:ascii="Arial" w:hAnsi="Arial" w:cs="Arial"/>
          <w:b/>
          <w:color w:val="0070C0"/>
        </w:rPr>
        <w:t xml:space="preserve">6.3.2   </w:t>
      </w:r>
      <w:r w:rsidRPr="00CD59E6">
        <w:rPr>
          <w:rFonts w:ascii="Arial" w:hAnsi="Arial" w:cs="Arial"/>
          <w:b/>
          <w:color w:val="0070C0"/>
        </w:rPr>
        <w:t xml:space="preserve">Definitions </w:t>
      </w:r>
    </w:p>
    <w:p w14:paraId="5EBB1029" w14:textId="77777777" w:rsidR="003074D6" w:rsidRDefault="003074D6" w:rsidP="003074D6">
      <w:pPr>
        <w:spacing w:after="0" w:line="240" w:lineRule="auto"/>
        <w:rPr>
          <w:rFonts w:ascii="Arial" w:hAnsi="Arial" w:cs="Arial"/>
        </w:rPr>
      </w:pPr>
    </w:p>
    <w:p w14:paraId="4967E211" w14:textId="27CFF4E6" w:rsidR="003074D6" w:rsidRPr="003D418D" w:rsidRDefault="003074D6" w:rsidP="003074D6">
      <w:pPr>
        <w:spacing w:after="0" w:line="240" w:lineRule="auto"/>
        <w:rPr>
          <w:rFonts w:ascii="Arial" w:hAnsi="Arial" w:cs="Arial"/>
        </w:rPr>
      </w:pPr>
      <w:r w:rsidRPr="00827CB0">
        <w:rPr>
          <w:rFonts w:ascii="Arial" w:hAnsi="Arial" w:cs="Arial"/>
          <w:i/>
          <w:color w:val="0070C0"/>
        </w:rPr>
        <w:t>Age group</w:t>
      </w:r>
      <w:r w:rsidRPr="00827CB0">
        <w:rPr>
          <w:rFonts w:ascii="Arial" w:hAnsi="Arial" w:cs="Arial"/>
          <w:color w:val="0070C0"/>
        </w:rPr>
        <w:t xml:space="preserve"> </w:t>
      </w:r>
      <w:r>
        <w:rPr>
          <w:rFonts w:ascii="Arial" w:hAnsi="Arial" w:cs="Arial"/>
        </w:rPr>
        <w:t>will be categorised as follows: &lt;5 years, 5 to &lt;15 years, and ≥15 years.</w:t>
      </w:r>
    </w:p>
    <w:p w14:paraId="3158729B" w14:textId="77777777" w:rsidR="003074D6" w:rsidRDefault="003074D6" w:rsidP="003074D6">
      <w:pPr>
        <w:spacing w:after="0" w:line="240" w:lineRule="auto"/>
        <w:rPr>
          <w:rFonts w:ascii="Arial" w:hAnsi="Arial" w:cs="Arial"/>
          <w:color w:val="000000"/>
        </w:rPr>
      </w:pPr>
    </w:p>
    <w:p w14:paraId="29316247" w14:textId="0AA7E8E1" w:rsidR="003074D6" w:rsidRPr="00376B2A" w:rsidRDefault="003074D6" w:rsidP="003074D6">
      <w:pPr>
        <w:pStyle w:val="Default"/>
        <w:rPr>
          <w:rFonts w:ascii="Arial" w:hAnsi="Arial" w:cs="Arial"/>
          <w:sz w:val="22"/>
          <w:szCs w:val="22"/>
        </w:rPr>
      </w:pPr>
      <w:r w:rsidRPr="00827CB0">
        <w:rPr>
          <w:rFonts w:ascii="Arial" w:hAnsi="Arial" w:cs="Arial"/>
          <w:i/>
          <w:color w:val="0070C0"/>
          <w:sz w:val="22"/>
          <w:szCs w:val="22"/>
        </w:rPr>
        <w:t>Regional relapse periodicity</w:t>
      </w:r>
      <w:r w:rsidRPr="00827CB0">
        <w:rPr>
          <w:rFonts w:ascii="Arial" w:hAnsi="Arial" w:cs="Arial"/>
          <w:color w:val="0070C0"/>
          <w:sz w:val="22"/>
          <w:szCs w:val="22"/>
        </w:rPr>
        <w:t xml:space="preserve"> </w:t>
      </w:r>
      <w:r w:rsidRPr="00E97256">
        <w:rPr>
          <w:rFonts w:ascii="Arial" w:hAnsi="Arial" w:cs="Arial"/>
          <w:sz w:val="22"/>
          <w:szCs w:val="22"/>
        </w:rPr>
        <w:t>will be categorised as “high” (short) or “low” (long) according to Battle’s regions</w:t>
      </w:r>
      <w:r w:rsidR="00661195">
        <w:rPr>
          <w:rFonts w:ascii="Arial" w:hAnsi="Arial" w:cs="Arial"/>
          <w:sz w:val="22"/>
          <w:szCs w:val="22"/>
          <w:vertAlign w:val="superscript"/>
        </w:rPr>
        <w:t>10</w:t>
      </w:r>
      <w:r>
        <w:rPr>
          <w:rFonts w:ascii="Arial" w:hAnsi="Arial" w:cs="Arial"/>
          <w:sz w:val="22"/>
          <w:szCs w:val="22"/>
        </w:rPr>
        <w:t xml:space="preserve">, </w:t>
      </w:r>
      <w:r w:rsidRPr="00C77A24">
        <w:rPr>
          <w:rFonts w:ascii="Arial" w:hAnsi="Arial" w:cs="Arial"/>
          <w:sz w:val="22"/>
          <w:szCs w:val="22"/>
        </w:rPr>
        <w:t>with high periodicity considered to include regions where the median periodicity was ≤4</w:t>
      </w:r>
      <w:r w:rsidR="0020637C">
        <w:rPr>
          <w:rFonts w:ascii="Arial" w:hAnsi="Arial" w:cs="Arial"/>
          <w:sz w:val="22"/>
          <w:szCs w:val="22"/>
        </w:rPr>
        <w:t>7</w:t>
      </w:r>
      <w:r w:rsidRPr="00C77A24">
        <w:rPr>
          <w:rFonts w:ascii="Arial" w:hAnsi="Arial" w:cs="Arial"/>
          <w:sz w:val="22"/>
          <w:szCs w:val="22"/>
        </w:rPr>
        <w:t xml:space="preserve"> days. Th</w:t>
      </w:r>
      <w:r>
        <w:rPr>
          <w:rFonts w:ascii="Arial" w:hAnsi="Arial" w:cs="Arial"/>
          <w:sz w:val="22"/>
          <w:szCs w:val="22"/>
        </w:rPr>
        <w:t xml:space="preserve">erefore, the </w:t>
      </w:r>
      <w:r w:rsidRPr="00C77A24">
        <w:rPr>
          <w:rFonts w:ascii="Arial" w:hAnsi="Arial" w:cs="Arial"/>
          <w:sz w:val="22"/>
          <w:szCs w:val="22"/>
        </w:rPr>
        <w:t xml:space="preserve">regions with the two highest periodicities (region 10 and 12) where the median periodicity is </w:t>
      </w:r>
      <w:r w:rsidR="0020637C">
        <w:rPr>
          <w:rFonts w:ascii="Arial" w:hAnsi="Arial" w:cs="Arial"/>
          <w:sz w:val="22"/>
          <w:szCs w:val="22"/>
        </w:rPr>
        <w:t>≤</w:t>
      </w:r>
      <w:r w:rsidRPr="00C77A24">
        <w:rPr>
          <w:rFonts w:ascii="Arial" w:hAnsi="Arial" w:cs="Arial"/>
          <w:sz w:val="22"/>
          <w:szCs w:val="22"/>
        </w:rPr>
        <w:t>47 days will be categorised as “high” and others will be categorised as “low”.</w:t>
      </w:r>
    </w:p>
    <w:p w14:paraId="6693F995" w14:textId="77777777" w:rsidR="003074D6" w:rsidRDefault="003074D6" w:rsidP="003074D6">
      <w:pPr>
        <w:spacing w:after="0" w:line="240" w:lineRule="auto"/>
        <w:rPr>
          <w:rFonts w:ascii="Arial" w:hAnsi="Arial" w:cs="Arial"/>
          <w:color w:val="000000"/>
        </w:rPr>
      </w:pPr>
    </w:p>
    <w:p w14:paraId="55DAC762" w14:textId="11B71542" w:rsidR="003074D6" w:rsidRDefault="003074D6" w:rsidP="003074D6">
      <w:pPr>
        <w:pStyle w:val="Default"/>
        <w:rPr>
          <w:rFonts w:ascii="Arial" w:hAnsi="Arial" w:cs="Arial"/>
          <w:sz w:val="22"/>
          <w:szCs w:val="22"/>
        </w:rPr>
      </w:pPr>
      <w:r>
        <w:rPr>
          <w:rFonts w:ascii="Arial" w:hAnsi="Arial" w:cs="Arial"/>
          <w:sz w:val="22"/>
          <w:szCs w:val="22"/>
        </w:rPr>
        <w:t xml:space="preserve">The </w:t>
      </w:r>
      <w:r w:rsidRPr="007E49EC">
        <w:rPr>
          <w:rFonts w:ascii="Arial" w:hAnsi="Arial" w:cs="Arial"/>
          <w:i/>
          <w:color w:val="2E74B5" w:themeColor="accent5" w:themeShade="BF"/>
          <w:sz w:val="22"/>
          <w:szCs w:val="22"/>
        </w:rPr>
        <w:t>first recurrent episode</w:t>
      </w:r>
      <w:r w:rsidRPr="007E49EC">
        <w:rPr>
          <w:rFonts w:ascii="Arial" w:hAnsi="Arial" w:cs="Arial"/>
          <w:color w:val="2E74B5" w:themeColor="accent5" w:themeShade="BF"/>
          <w:sz w:val="22"/>
          <w:szCs w:val="22"/>
        </w:rPr>
        <w:t xml:space="preserve"> </w:t>
      </w:r>
      <w:r>
        <w:rPr>
          <w:rFonts w:ascii="Arial" w:hAnsi="Arial" w:cs="Arial"/>
          <w:sz w:val="22"/>
          <w:szCs w:val="22"/>
        </w:rPr>
        <w:t xml:space="preserve">will be defined as the first episode of recurrent </w:t>
      </w:r>
      <w:r>
        <w:rPr>
          <w:rFonts w:ascii="Arial" w:hAnsi="Arial" w:cs="Arial"/>
          <w:i/>
          <w:sz w:val="22"/>
          <w:szCs w:val="22"/>
        </w:rPr>
        <w:t xml:space="preserve">P. vivax </w:t>
      </w:r>
      <w:r>
        <w:rPr>
          <w:rFonts w:ascii="Arial" w:hAnsi="Arial" w:cs="Arial"/>
          <w:sz w:val="22"/>
          <w:szCs w:val="22"/>
        </w:rPr>
        <w:t>peripheral parasitaemia detected with microscopy after day 7</w:t>
      </w:r>
      <w:r w:rsidR="003603A9">
        <w:rPr>
          <w:rFonts w:ascii="Arial" w:hAnsi="Arial" w:cs="Arial"/>
          <w:sz w:val="22"/>
          <w:szCs w:val="22"/>
        </w:rPr>
        <w:t xml:space="preserve"> </w:t>
      </w:r>
      <w:r w:rsidR="00EA7AE0">
        <w:rPr>
          <w:rFonts w:ascii="Arial" w:hAnsi="Arial" w:cs="Arial"/>
          <w:sz w:val="22"/>
          <w:szCs w:val="22"/>
        </w:rPr>
        <w:t xml:space="preserve">with an intervening </w:t>
      </w:r>
      <w:r w:rsidR="003603A9">
        <w:rPr>
          <w:rFonts w:ascii="Arial" w:hAnsi="Arial" w:cs="Arial"/>
          <w:sz w:val="22"/>
          <w:szCs w:val="22"/>
        </w:rPr>
        <w:t>negative smear</w:t>
      </w:r>
      <w:r w:rsidR="001D4788">
        <w:rPr>
          <w:rFonts w:ascii="Arial" w:hAnsi="Arial" w:cs="Arial"/>
          <w:sz w:val="22"/>
          <w:szCs w:val="22"/>
        </w:rPr>
        <w:t>.</w:t>
      </w:r>
    </w:p>
    <w:p w14:paraId="451FD6EA" w14:textId="77777777" w:rsidR="003074D6" w:rsidRDefault="003074D6" w:rsidP="003074D6">
      <w:pPr>
        <w:pStyle w:val="Default"/>
        <w:rPr>
          <w:rFonts w:ascii="Arial" w:hAnsi="Arial" w:cs="Arial"/>
          <w:sz w:val="22"/>
          <w:szCs w:val="22"/>
        </w:rPr>
      </w:pPr>
    </w:p>
    <w:p w14:paraId="7184A074" w14:textId="43D59984" w:rsidR="003074D6" w:rsidRPr="0082152E" w:rsidRDefault="003074D6" w:rsidP="003074D6">
      <w:pPr>
        <w:pStyle w:val="Default"/>
        <w:rPr>
          <w:rFonts w:ascii="Arial" w:hAnsi="Arial" w:cs="Arial"/>
          <w:sz w:val="22"/>
          <w:szCs w:val="22"/>
        </w:rPr>
      </w:pPr>
      <w:r>
        <w:rPr>
          <w:rFonts w:ascii="Arial" w:hAnsi="Arial" w:cs="Arial"/>
          <w:sz w:val="22"/>
          <w:szCs w:val="22"/>
        </w:rPr>
        <w:t xml:space="preserve">The </w:t>
      </w:r>
      <w:r w:rsidRPr="007E49EC">
        <w:rPr>
          <w:rFonts w:ascii="Arial" w:hAnsi="Arial" w:cs="Arial"/>
          <w:i/>
          <w:color w:val="2E74B5" w:themeColor="accent5" w:themeShade="BF"/>
          <w:sz w:val="22"/>
          <w:szCs w:val="22"/>
        </w:rPr>
        <w:t>second recurrent episode</w:t>
      </w:r>
      <w:r w:rsidRPr="007E49EC">
        <w:rPr>
          <w:rFonts w:ascii="Arial" w:hAnsi="Arial" w:cs="Arial"/>
          <w:color w:val="2E74B5" w:themeColor="accent5" w:themeShade="BF"/>
          <w:sz w:val="22"/>
          <w:szCs w:val="22"/>
        </w:rPr>
        <w:t xml:space="preserve"> </w:t>
      </w:r>
      <w:r>
        <w:rPr>
          <w:rFonts w:ascii="Arial" w:hAnsi="Arial" w:cs="Arial"/>
          <w:sz w:val="22"/>
          <w:szCs w:val="22"/>
        </w:rPr>
        <w:t xml:space="preserve">will be defined as the second episode of recurrent </w:t>
      </w:r>
      <w:r>
        <w:rPr>
          <w:rFonts w:ascii="Arial" w:hAnsi="Arial" w:cs="Arial"/>
          <w:i/>
          <w:sz w:val="22"/>
          <w:szCs w:val="22"/>
        </w:rPr>
        <w:t xml:space="preserve">P. vivax </w:t>
      </w:r>
      <w:r>
        <w:rPr>
          <w:rFonts w:ascii="Arial" w:hAnsi="Arial" w:cs="Arial"/>
          <w:sz w:val="22"/>
          <w:szCs w:val="22"/>
        </w:rPr>
        <w:t xml:space="preserve">peripheral parasitaemia detected with microscopy after day 0, if it occurs &gt;7 days after the first recurrent episode </w:t>
      </w:r>
      <w:r w:rsidR="003603A9">
        <w:rPr>
          <w:rFonts w:ascii="Arial" w:hAnsi="Arial" w:cs="Arial"/>
          <w:sz w:val="22"/>
          <w:szCs w:val="22"/>
        </w:rPr>
        <w:t>with an intervening negative smear</w:t>
      </w:r>
      <w:r w:rsidR="001D4788">
        <w:rPr>
          <w:rFonts w:ascii="Arial" w:hAnsi="Arial" w:cs="Arial"/>
          <w:sz w:val="22"/>
          <w:szCs w:val="22"/>
        </w:rPr>
        <w:t>.</w:t>
      </w:r>
    </w:p>
    <w:p w14:paraId="3A1258AA" w14:textId="0069E28D" w:rsidR="00207536" w:rsidRDefault="00207536" w:rsidP="00207536">
      <w:pPr>
        <w:spacing w:after="0" w:line="240" w:lineRule="auto"/>
        <w:rPr>
          <w:rFonts w:ascii="Arial" w:hAnsi="Arial" w:cs="Arial"/>
          <w:b/>
          <w:color w:val="0070C0"/>
          <w:sz w:val="24"/>
          <w:szCs w:val="24"/>
        </w:rPr>
      </w:pPr>
    </w:p>
    <w:p w14:paraId="18A9BD6B" w14:textId="3F4CEC00" w:rsidR="003A5058" w:rsidRDefault="003A5058" w:rsidP="003A5058">
      <w:pPr>
        <w:pStyle w:val="Default"/>
        <w:rPr>
          <w:rFonts w:ascii="Arial" w:hAnsi="Arial" w:cs="Arial"/>
          <w:sz w:val="22"/>
          <w:szCs w:val="22"/>
        </w:rPr>
      </w:pPr>
      <w:r w:rsidRPr="00827CB0">
        <w:rPr>
          <w:rFonts w:ascii="Arial" w:hAnsi="Arial" w:cs="Arial"/>
          <w:i/>
          <w:color w:val="0070C0"/>
          <w:sz w:val="22"/>
          <w:szCs w:val="22"/>
        </w:rPr>
        <w:t>Transmission intensity</w:t>
      </w:r>
      <w:r w:rsidRPr="00827CB0">
        <w:rPr>
          <w:rFonts w:ascii="Arial" w:hAnsi="Arial" w:cs="Arial"/>
          <w:color w:val="0070C0"/>
          <w:sz w:val="22"/>
          <w:szCs w:val="22"/>
        </w:rPr>
        <w:t xml:space="preserve"> </w:t>
      </w:r>
      <w:r w:rsidRPr="005816C9">
        <w:rPr>
          <w:rFonts w:ascii="Arial" w:hAnsi="Arial" w:cs="Arial"/>
          <w:sz w:val="22"/>
          <w:szCs w:val="22"/>
        </w:rPr>
        <w:t xml:space="preserve">will be categorised as </w:t>
      </w:r>
      <w:r>
        <w:rPr>
          <w:rFonts w:ascii="Arial" w:hAnsi="Arial" w:cs="Arial"/>
          <w:sz w:val="22"/>
          <w:szCs w:val="22"/>
        </w:rPr>
        <w:t>“l</w:t>
      </w:r>
      <w:r w:rsidRPr="005816C9">
        <w:rPr>
          <w:rFonts w:ascii="Arial" w:hAnsi="Arial" w:cs="Arial"/>
          <w:iCs/>
          <w:sz w:val="22"/>
          <w:szCs w:val="22"/>
        </w:rPr>
        <w:t>ow</w:t>
      </w:r>
      <w:r>
        <w:rPr>
          <w:rFonts w:ascii="Arial" w:hAnsi="Arial" w:cs="Arial"/>
          <w:iCs/>
          <w:sz w:val="22"/>
          <w:szCs w:val="22"/>
        </w:rPr>
        <w:t>”</w:t>
      </w:r>
      <w:r w:rsidRPr="005816C9">
        <w:rPr>
          <w:rFonts w:ascii="Arial" w:hAnsi="Arial" w:cs="Arial"/>
          <w:iCs/>
          <w:sz w:val="22"/>
          <w:szCs w:val="22"/>
        </w:rPr>
        <w:t xml:space="preserve">, </w:t>
      </w:r>
      <w:r>
        <w:rPr>
          <w:rFonts w:ascii="Arial" w:hAnsi="Arial" w:cs="Arial"/>
          <w:iCs/>
          <w:sz w:val="22"/>
          <w:szCs w:val="22"/>
        </w:rPr>
        <w:t>“</w:t>
      </w:r>
      <w:r w:rsidRPr="005816C9">
        <w:rPr>
          <w:rFonts w:ascii="Arial" w:hAnsi="Arial" w:cs="Arial"/>
          <w:iCs/>
          <w:sz w:val="22"/>
          <w:szCs w:val="22"/>
        </w:rPr>
        <w:t>moderate</w:t>
      </w:r>
      <w:r>
        <w:rPr>
          <w:rFonts w:ascii="Arial" w:hAnsi="Arial" w:cs="Arial"/>
          <w:iCs/>
          <w:sz w:val="22"/>
          <w:szCs w:val="22"/>
        </w:rPr>
        <w:t>”,</w:t>
      </w:r>
      <w:r w:rsidRPr="005816C9">
        <w:rPr>
          <w:rFonts w:ascii="Arial" w:hAnsi="Arial" w:cs="Arial"/>
          <w:iCs/>
          <w:sz w:val="22"/>
          <w:szCs w:val="22"/>
        </w:rPr>
        <w:t xml:space="preserve"> </w:t>
      </w:r>
      <w:r>
        <w:rPr>
          <w:rFonts w:ascii="Arial" w:hAnsi="Arial" w:cs="Arial"/>
          <w:iCs/>
          <w:sz w:val="22"/>
          <w:szCs w:val="22"/>
        </w:rPr>
        <w:t>or “</w:t>
      </w:r>
      <w:r w:rsidRPr="005816C9">
        <w:rPr>
          <w:rFonts w:ascii="Arial" w:hAnsi="Arial" w:cs="Arial"/>
          <w:iCs/>
          <w:sz w:val="22"/>
          <w:szCs w:val="22"/>
        </w:rPr>
        <w:t>high</w:t>
      </w:r>
      <w:r>
        <w:rPr>
          <w:rFonts w:ascii="Arial" w:hAnsi="Arial" w:cs="Arial"/>
          <w:iCs/>
          <w:sz w:val="22"/>
          <w:szCs w:val="22"/>
        </w:rPr>
        <w:t>”</w:t>
      </w:r>
      <w:r w:rsidRPr="005816C9">
        <w:rPr>
          <w:rFonts w:ascii="Arial" w:hAnsi="Arial" w:cs="Arial"/>
          <w:iCs/>
          <w:sz w:val="22"/>
          <w:szCs w:val="22"/>
        </w:rPr>
        <w:t xml:space="preserve"> </w:t>
      </w:r>
      <w:r>
        <w:rPr>
          <w:rFonts w:ascii="Arial" w:hAnsi="Arial" w:cs="Arial"/>
          <w:iCs/>
          <w:sz w:val="22"/>
          <w:szCs w:val="22"/>
        </w:rPr>
        <w:t xml:space="preserve">according to </w:t>
      </w:r>
      <w:r w:rsidRPr="005816C9">
        <w:rPr>
          <w:rFonts w:ascii="Arial" w:hAnsi="Arial" w:cs="Arial"/>
          <w:sz w:val="22"/>
          <w:szCs w:val="22"/>
        </w:rPr>
        <w:t xml:space="preserve">malaria endemicity estimates obtained for study </w:t>
      </w:r>
      <w:r>
        <w:rPr>
          <w:rFonts w:ascii="Arial" w:hAnsi="Arial" w:cs="Arial"/>
          <w:sz w:val="22"/>
          <w:szCs w:val="22"/>
        </w:rPr>
        <w:t>regions</w:t>
      </w:r>
      <w:r w:rsidRPr="005816C9">
        <w:rPr>
          <w:rFonts w:ascii="Arial" w:hAnsi="Arial" w:cs="Arial"/>
          <w:sz w:val="22"/>
          <w:szCs w:val="22"/>
        </w:rPr>
        <w:t xml:space="preserve"> and year from the Malaria Atlas Project</w:t>
      </w:r>
      <w:r w:rsidR="00661195">
        <w:rPr>
          <w:rFonts w:ascii="Arial" w:hAnsi="Arial" w:cs="Arial"/>
          <w:sz w:val="22"/>
          <w:szCs w:val="22"/>
          <w:vertAlign w:val="superscript"/>
        </w:rPr>
        <w:t>10</w:t>
      </w:r>
      <w:r>
        <w:rPr>
          <w:rFonts w:ascii="Arial" w:hAnsi="Arial" w:cs="Arial"/>
          <w:sz w:val="22"/>
          <w:szCs w:val="22"/>
        </w:rPr>
        <w:t>:</w:t>
      </w:r>
    </w:p>
    <w:p w14:paraId="42D47D2D" w14:textId="69E8ED02" w:rsidR="003A5058" w:rsidRPr="005660A3" w:rsidRDefault="003A5058" w:rsidP="003A5058">
      <w:pPr>
        <w:pStyle w:val="Default"/>
        <w:numPr>
          <w:ilvl w:val="0"/>
          <w:numId w:val="8"/>
        </w:numPr>
        <w:rPr>
          <w:rFonts w:ascii="Arial" w:eastAsiaTheme="minorHAnsi" w:hAnsi="Arial" w:cs="Arial"/>
          <w:sz w:val="22"/>
          <w:szCs w:val="22"/>
          <w:lang w:eastAsia="en-US"/>
        </w:rPr>
      </w:pPr>
      <w:r w:rsidRPr="005816C9">
        <w:rPr>
          <w:rFonts w:ascii="Arial" w:hAnsi="Arial" w:cs="Arial"/>
          <w:sz w:val="22"/>
          <w:szCs w:val="22"/>
        </w:rPr>
        <w:lastRenderedPageBreak/>
        <w:t>Pv</w:t>
      </w:r>
      <w:r w:rsidR="00A86F77">
        <w:rPr>
          <w:rFonts w:ascii="Arial" w:hAnsi="Arial" w:cs="Arial"/>
          <w:sz w:val="22"/>
          <w:szCs w:val="22"/>
        </w:rPr>
        <w:t xml:space="preserve"> incidence rate</w:t>
      </w:r>
      <w:r w:rsidRPr="005816C9">
        <w:rPr>
          <w:rFonts w:ascii="Arial" w:hAnsi="Arial" w:cs="Arial"/>
          <w:sz w:val="22"/>
          <w:szCs w:val="22"/>
        </w:rPr>
        <w:t xml:space="preserve"> </w:t>
      </w:r>
      <w:r w:rsidR="00A86F77">
        <w:rPr>
          <w:rFonts w:ascii="Arial" w:hAnsi="Arial" w:cs="Arial"/>
          <w:sz w:val="22"/>
          <w:szCs w:val="22"/>
        </w:rPr>
        <w:t>≤1 case per 1000 people per year</w:t>
      </w:r>
      <w:r w:rsidRPr="005816C9">
        <w:rPr>
          <w:rFonts w:ascii="Arial" w:hAnsi="Arial" w:cs="Arial"/>
          <w:sz w:val="22"/>
          <w:szCs w:val="22"/>
        </w:rPr>
        <w:t xml:space="preserve"> will be categori</w:t>
      </w:r>
      <w:r>
        <w:rPr>
          <w:rFonts w:ascii="Arial" w:hAnsi="Arial" w:cs="Arial"/>
          <w:sz w:val="22"/>
          <w:szCs w:val="22"/>
        </w:rPr>
        <w:t>s</w:t>
      </w:r>
      <w:r w:rsidRPr="005816C9">
        <w:rPr>
          <w:rFonts w:ascii="Arial" w:hAnsi="Arial" w:cs="Arial"/>
          <w:sz w:val="22"/>
          <w:szCs w:val="22"/>
        </w:rPr>
        <w:t xml:space="preserve">ed as </w:t>
      </w:r>
      <w:r>
        <w:rPr>
          <w:rFonts w:ascii="Arial" w:hAnsi="Arial" w:cs="Arial"/>
          <w:sz w:val="22"/>
          <w:szCs w:val="22"/>
        </w:rPr>
        <w:t xml:space="preserve">a </w:t>
      </w:r>
      <w:r w:rsidRPr="005816C9">
        <w:rPr>
          <w:rFonts w:ascii="Arial" w:hAnsi="Arial" w:cs="Arial"/>
          <w:sz w:val="22"/>
          <w:szCs w:val="22"/>
        </w:rPr>
        <w:t>“low” transmission area</w:t>
      </w:r>
      <w:r>
        <w:rPr>
          <w:rFonts w:ascii="Arial" w:hAnsi="Arial" w:cs="Arial"/>
          <w:sz w:val="22"/>
          <w:szCs w:val="22"/>
        </w:rPr>
        <w:t>;</w:t>
      </w:r>
    </w:p>
    <w:p w14:paraId="6CD2EFE0" w14:textId="23DB0E25" w:rsidR="003A5058" w:rsidRPr="005660A3" w:rsidRDefault="00A86F77" w:rsidP="003A5058">
      <w:pPr>
        <w:pStyle w:val="Default"/>
        <w:numPr>
          <w:ilvl w:val="0"/>
          <w:numId w:val="8"/>
        </w:numPr>
        <w:rPr>
          <w:rFonts w:ascii="Arial" w:eastAsiaTheme="minorHAnsi" w:hAnsi="Arial" w:cs="Arial"/>
          <w:sz w:val="22"/>
          <w:szCs w:val="22"/>
          <w:lang w:eastAsia="en-US"/>
        </w:rPr>
      </w:pPr>
      <w:r w:rsidRPr="005816C9">
        <w:rPr>
          <w:rFonts w:ascii="Arial" w:hAnsi="Arial" w:cs="Arial"/>
          <w:sz w:val="22"/>
          <w:szCs w:val="22"/>
        </w:rPr>
        <w:t>Pv</w:t>
      </w:r>
      <w:r>
        <w:rPr>
          <w:rFonts w:ascii="Arial" w:hAnsi="Arial" w:cs="Arial"/>
          <w:sz w:val="22"/>
          <w:szCs w:val="22"/>
        </w:rPr>
        <w:t xml:space="preserve"> incidence rate</w:t>
      </w:r>
      <w:r w:rsidR="003A5058" w:rsidRPr="005816C9">
        <w:rPr>
          <w:rFonts w:ascii="Arial" w:hAnsi="Arial" w:cs="Arial"/>
          <w:sz w:val="22"/>
          <w:szCs w:val="22"/>
        </w:rPr>
        <w:t xml:space="preserve"> </w:t>
      </w:r>
      <w:r>
        <w:rPr>
          <w:rFonts w:ascii="Arial" w:hAnsi="Arial" w:cs="Arial"/>
          <w:sz w:val="22"/>
          <w:szCs w:val="22"/>
        </w:rPr>
        <w:t xml:space="preserve">&gt;1 </w:t>
      </w:r>
      <w:r w:rsidR="003A5058" w:rsidRPr="005816C9">
        <w:rPr>
          <w:rFonts w:ascii="Arial" w:hAnsi="Arial" w:cs="Arial"/>
          <w:sz w:val="22"/>
          <w:szCs w:val="22"/>
        </w:rPr>
        <w:t xml:space="preserve">&amp; </w:t>
      </w:r>
      <w:r w:rsidR="001825B1">
        <w:rPr>
          <w:rFonts w:ascii="Arial" w:hAnsi="Arial" w:cs="Arial"/>
          <w:sz w:val="22"/>
          <w:szCs w:val="22"/>
        </w:rPr>
        <w:t>≤1</w:t>
      </w:r>
      <w:r w:rsidR="003A5058">
        <w:rPr>
          <w:rFonts w:ascii="Arial" w:hAnsi="Arial" w:cs="Arial"/>
          <w:sz w:val="22"/>
          <w:szCs w:val="22"/>
        </w:rPr>
        <w:t>0</w:t>
      </w:r>
      <w:r w:rsidR="003A5058" w:rsidRPr="005816C9">
        <w:rPr>
          <w:rFonts w:ascii="Arial" w:hAnsi="Arial" w:cs="Arial"/>
          <w:sz w:val="22"/>
          <w:szCs w:val="22"/>
        </w:rPr>
        <w:t xml:space="preserve"> </w:t>
      </w:r>
      <w:r w:rsidR="001825B1">
        <w:rPr>
          <w:rFonts w:ascii="Arial" w:hAnsi="Arial" w:cs="Arial"/>
          <w:sz w:val="22"/>
          <w:szCs w:val="22"/>
        </w:rPr>
        <w:t>cases per 1000 people per year</w:t>
      </w:r>
      <w:r w:rsidR="001825B1" w:rsidRPr="005816C9">
        <w:rPr>
          <w:rFonts w:ascii="Arial" w:hAnsi="Arial" w:cs="Arial"/>
          <w:sz w:val="22"/>
          <w:szCs w:val="22"/>
        </w:rPr>
        <w:t xml:space="preserve"> </w:t>
      </w:r>
      <w:r w:rsidR="003A5058" w:rsidRPr="005816C9">
        <w:rPr>
          <w:rFonts w:ascii="Arial" w:hAnsi="Arial" w:cs="Arial"/>
          <w:sz w:val="22"/>
          <w:szCs w:val="22"/>
        </w:rPr>
        <w:t>w</w:t>
      </w:r>
      <w:r w:rsidR="003A5058">
        <w:rPr>
          <w:rFonts w:ascii="Arial" w:hAnsi="Arial" w:cs="Arial"/>
          <w:sz w:val="22"/>
          <w:szCs w:val="22"/>
        </w:rPr>
        <w:t>ill be</w:t>
      </w:r>
      <w:r w:rsidR="003A5058" w:rsidRPr="005816C9">
        <w:rPr>
          <w:rFonts w:ascii="Arial" w:hAnsi="Arial" w:cs="Arial"/>
          <w:sz w:val="22"/>
          <w:szCs w:val="22"/>
        </w:rPr>
        <w:t xml:space="preserve"> classified as </w:t>
      </w:r>
      <w:r w:rsidR="003A5058">
        <w:rPr>
          <w:rFonts w:ascii="Arial" w:hAnsi="Arial" w:cs="Arial"/>
          <w:sz w:val="22"/>
          <w:szCs w:val="22"/>
        </w:rPr>
        <w:t xml:space="preserve">a </w:t>
      </w:r>
      <w:r w:rsidR="003A5058" w:rsidRPr="005816C9">
        <w:rPr>
          <w:rFonts w:ascii="Arial" w:hAnsi="Arial" w:cs="Arial"/>
          <w:sz w:val="22"/>
          <w:szCs w:val="22"/>
        </w:rPr>
        <w:t>“moderate” transmission area</w:t>
      </w:r>
      <w:r w:rsidR="003A5058">
        <w:rPr>
          <w:rFonts w:ascii="Arial" w:hAnsi="Arial" w:cs="Arial"/>
          <w:sz w:val="22"/>
          <w:szCs w:val="22"/>
        </w:rPr>
        <w:t>;</w:t>
      </w:r>
      <w:r w:rsidR="003A5058" w:rsidRPr="005816C9">
        <w:rPr>
          <w:rFonts w:ascii="Arial" w:hAnsi="Arial" w:cs="Arial"/>
          <w:sz w:val="22"/>
          <w:szCs w:val="22"/>
        </w:rPr>
        <w:t xml:space="preserve"> </w:t>
      </w:r>
    </w:p>
    <w:p w14:paraId="60A75EE4" w14:textId="3374E684" w:rsidR="003A5058" w:rsidRPr="003D418D" w:rsidRDefault="001825B1" w:rsidP="003A5058">
      <w:pPr>
        <w:pStyle w:val="Default"/>
        <w:numPr>
          <w:ilvl w:val="0"/>
          <w:numId w:val="8"/>
        </w:numPr>
        <w:rPr>
          <w:rFonts w:ascii="Arial" w:eastAsiaTheme="minorHAnsi" w:hAnsi="Arial" w:cs="Arial"/>
          <w:sz w:val="22"/>
          <w:szCs w:val="22"/>
          <w:lang w:eastAsia="en-US"/>
        </w:rPr>
      </w:pPr>
      <w:r w:rsidRPr="005816C9">
        <w:rPr>
          <w:rFonts w:ascii="Arial" w:hAnsi="Arial" w:cs="Arial"/>
          <w:sz w:val="22"/>
          <w:szCs w:val="22"/>
        </w:rPr>
        <w:t>Pv</w:t>
      </w:r>
      <w:r>
        <w:rPr>
          <w:rFonts w:ascii="Arial" w:hAnsi="Arial" w:cs="Arial"/>
          <w:sz w:val="22"/>
          <w:szCs w:val="22"/>
        </w:rPr>
        <w:t xml:space="preserve"> incidence rate</w:t>
      </w:r>
      <w:r w:rsidRPr="005816C9">
        <w:rPr>
          <w:rFonts w:ascii="Arial" w:hAnsi="Arial" w:cs="Arial"/>
          <w:sz w:val="22"/>
          <w:szCs w:val="22"/>
        </w:rPr>
        <w:t xml:space="preserve"> </w:t>
      </w:r>
      <w:r>
        <w:rPr>
          <w:rFonts w:ascii="Arial" w:hAnsi="Arial" w:cs="Arial"/>
          <w:sz w:val="22"/>
          <w:szCs w:val="22"/>
        </w:rPr>
        <w:t>&gt;10</w:t>
      </w:r>
      <w:r w:rsidRPr="005816C9">
        <w:rPr>
          <w:rFonts w:ascii="Arial" w:hAnsi="Arial" w:cs="Arial"/>
          <w:sz w:val="22"/>
          <w:szCs w:val="22"/>
        </w:rPr>
        <w:t xml:space="preserve"> </w:t>
      </w:r>
      <w:r>
        <w:rPr>
          <w:rFonts w:ascii="Arial" w:hAnsi="Arial" w:cs="Arial"/>
          <w:sz w:val="22"/>
          <w:szCs w:val="22"/>
        </w:rPr>
        <w:t>cases per 1000 people per year</w:t>
      </w:r>
      <w:r w:rsidR="003A5058" w:rsidRPr="005816C9">
        <w:rPr>
          <w:rFonts w:ascii="Arial" w:hAnsi="Arial" w:cs="Arial"/>
          <w:sz w:val="22"/>
          <w:szCs w:val="22"/>
        </w:rPr>
        <w:t xml:space="preserve"> w</w:t>
      </w:r>
      <w:r w:rsidR="003A5058">
        <w:rPr>
          <w:rFonts w:ascii="Arial" w:hAnsi="Arial" w:cs="Arial"/>
          <w:sz w:val="22"/>
          <w:szCs w:val="22"/>
        </w:rPr>
        <w:t>ill be</w:t>
      </w:r>
      <w:r w:rsidR="003A5058" w:rsidRPr="005816C9">
        <w:rPr>
          <w:rFonts w:ascii="Arial" w:hAnsi="Arial" w:cs="Arial"/>
          <w:sz w:val="22"/>
          <w:szCs w:val="22"/>
        </w:rPr>
        <w:t xml:space="preserve"> classified as </w:t>
      </w:r>
      <w:r w:rsidR="003A5058">
        <w:rPr>
          <w:rFonts w:ascii="Arial" w:hAnsi="Arial" w:cs="Arial"/>
          <w:sz w:val="22"/>
          <w:szCs w:val="22"/>
        </w:rPr>
        <w:t xml:space="preserve">a </w:t>
      </w:r>
      <w:r w:rsidR="003A5058" w:rsidRPr="005816C9">
        <w:rPr>
          <w:rFonts w:ascii="Arial" w:hAnsi="Arial" w:cs="Arial"/>
          <w:sz w:val="22"/>
          <w:szCs w:val="22"/>
        </w:rPr>
        <w:t>“high” transmission area.</w:t>
      </w:r>
    </w:p>
    <w:p w14:paraId="46E690FB" w14:textId="77777777" w:rsidR="003D418D" w:rsidRPr="001825B1" w:rsidRDefault="003D418D" w:rsidP="003A5058">
      <w:pPr>
        <w:spacing w:after="0" w:line="240" w:lineRule="auto"/>
        <w:rPr>
          <w:rFonts w:ascii="Arial" w:hAnsi="Arial" w:cs="Arial"/>
          <w:iCs/>
          <w:color w:val="0070C0"/>
        </w:rPr>
      </w:pPr>
    </w:p>
    <w:p w14:paraId="2FA46B77" w14:textId="6950A436" w:rsidR="003A5058" w:rsidRPr="003603A9" w:rsidRDefault="003A5058" w:rsidP="003A5058">
      <w:pPr>
        <w:spacing w:after="0" w:line="240" w:lineRule="auto"/>
        <w:rPr>
          <w:rFonts w:ascii="Arial" w:hAnsi="Arial" w:cs="Arial"/>
        </w:rPr>
      </w:pPr>
      <w:r w:rsidRPr="009A65F8">
        <w:rPr>
          <w:rFonts w:ascii="Arial" w:hAnsi="Arial" w:cs="Arial"/>
          <w:i/>
          <w:color w:val="0070C0"/>
        </w:rPr>
        <w:t>Timing of recurrence</w:t>
      </w:r>
      <w:r w:rsidRPr="009A65F8">
        <w:rPr>
          <w:rFonts w:ascii="Arial" w:hAnsi="Arial" w:cs="Arial"/>
          <w:color w:val="0070C0"/>
        </w:rPr>
        <w:t xml:space="preserve"> </w:t>
      </w:r>
      <w:r>
        <w:rPr>
          <w:rFonts w:ascii="Arial" w:hAnsi="Arial" w:cs="Arial"/>
        </w:rPr>
        <w:t xml:space="preserve">will be categorised as follows: </w:t>
      </w:r>
      <w:r w:rsidR="00470557">
        <w:rPr>
          <w:rFonts w:ascii="Arial" w:hAnsi="Arial" w:cs="Arial"/>
        </w:rPr>
        <w:t>8-</w:t>
      </w:r>
      <w:r w:rsidR="00606A4D">
        <w:rPr>
          <w:rFonts w:ascii="Arial" w:hAnsi="Arial" w:cs="Arial"/>
        </w:rPr>
        <w:t>9</w:t>
      </w:r>
      <w:r>
        <w:rPr>
          <w:rFonts w:ascii="Arial" w:hAnsi="Arial" w:cs="Arial"/>
        </w:rPr>
        <w:t xml:space="preserve">0 days, </w:t>
      </w:r>
      <w:r w:rsidR="00606A4D">
        <w:rPr>
          <w:rFonts w:ascii="Arial" w:hAnsi="Arial" w:cs="Arial"/>
        </w:rPr>
        <w:t>9</w:t>
      </w:r>
      <w:r w:rsidR="00470557">
        <w:rPr>
          <w:rFonts w:ascii="Arial" w:hAnsi="Arial" w:cs="Arial"/>
        </w:rPr>
        <w:t>1</w:t>
      </w:r>
      <w:r>
        <w:rPr>
          <w:rFonts w:ascii="Arial" w:hAnsi="Arial" w:cs="Arial"/>
        </w:rPr>
        <w:t>-</w:t>
      </w:r>
      <w:r w:rsidR="00606A4D">
        <w:rPr>
          <w:rFonts w:ascii="Arial" w:hAnsi="Arial" w:cs="Arial"/>
        </w:rPr>
        <w:t>18</w:t>
      </w:r>
      <w:r>
        <w:rPr>
          <w:rFonts w:ascii="Arial" w:hAnsi="Arial" w:cs="Arial"/>
        </w:rPr>
        <w:t xml:space="preserve">0 days, </w:t>
      </w:r>
      <w:r w:rsidR="00606A4D">
        <w:rPr>
          <w:rFonts w:ascii="Arial" w:hAnsi="Arial" w:cs="Arial"/>
        </w:rPr>
        <w:t>18</w:t>
      </w:r>
      <w:r w:rsidR="00470557">
        <w:rPr>
          <w:rFonts w:ascii="Arial" w:hAnsi="Arial" w:cs="Arial"/>
        </w:rPr>
        <w:t>1</w:t>
      </w:r>
      <w:r w:rsidR="00606A4D">
        <w:rPr>
          <w:rFonts w:ascii="Arial" w:hAnsi="Arial" w:cs="Arial"/>
        </w:rPr>
        <w:t xml:space="preserve">-270 days, </w:t>
      </w:r>
      <w:r>
        <w:rPr>
          <w:rFonts w:ascii="Arial" w:hAnsi="Arial" w:cs="Arial"/>
        </w:rPr>
        <w:t>or &gt;</w:t>
      </w:r>
      <w:r w:rsidR="00606A4D">
        <w:rPr>
          <w:rFonts w:ascii="Arial" w:hAnsi="Arial" w:cs="Arial"/>
        </w:rPr>
        <w:t>27</w:t>
      </w:r>
      <w:r>
        <w:rPr>
          <w:rFonts w:ascii="Arial" w:hAnsi="Arial" w:cs="Arial"/>
        </w:rPr>
        <w:t xml:space="preserve">0 days after </w:t>
      </w:r>
      <w:r w:rsidR="002465AE">
        <w:rPr>
          <w:rFonts w:ascii="Arial" w:hAnsi="Arial" w:cs="Arial"/>
        </w:rPr>
        <w:t xml:space="preserve">the previous episode of </w:t>
      </w:r>
      <w:r w:rsidR="002465AE">
        <w:rPr>
          <w:rFonts w:ascii="Arial" w:hAnsi="Arial" w:cs="Arial"/>
          <w:i/>
          <w:iCs/>
        </w:rPr>
        <w:t xml:space="preserve">P. vivax </w:t>
      </w:r>
      <w:r w:rsidR="002465AE">
        <w:rPr>
          <w:rFonts w:ascii="Arial" w:hAnsi="Arial" w:cs="Arial"/>
        </w:rPr>
        <w:t>parasitaemia</w:t>
      </w:r>
      <w:r>
        <w:rPr>
          <w:rFonts w:ascii="Arial" w:hAnsi="Arial" w:cs="Arial"/>
        </w:rPr>
        <w:t>.</w:t>
      </w:r>
    </w:p>
    <w:p w14:paraId="690051BE" w14:textId="77777777" w:rsidR="00F968BF" w:rsidRDefault="00F968BF" w:rsidP="003A5058">
      <w:pPr>
        <w:spacing w:after="0" w:line="240" w:lineRule="auto"/>
        <w:rPr>
          <w:rFonts w:ascii="Arial" w:hAnsi="Arial" w:cs="Arial"/>
          <w:i/>
          <w:color w:val="0070C0"/>
        </w:rPr>
      </w:pPr>
    </w:p>
    <w:p w14:paraId="407F2762" w14:textId="258135F9" w:rsidR="003A5058" w:rsidRDefault="003A5058" w:rsidP="003A5058">
      <w:pPr>
        <w:spacing w:after="0" w:line="240" w:lineRule="auto"/>
        <w:rPr>
          <w:rFonts w:ascii="Arial" w:hAnsi="Arial" w:cs="Arial"/>
        </w:rPr>
      </w:pPr>
      <w:r w:rsidRPr="00827CB0">
        <w:rPr>
          <w:rFonts w:ascii="Arial" w:hAnsi="Arial" w:cs="Arial"/>
          <w:i/>
          <w:color w:val="0070C0"/>
        </w:rPr>
        <w:t>Underweight</w:t>
      </w:r>
      <w:r w:rsidRPr="00827CB0">
        <w:rPr>
          <w:rFonts w:ascii="Arial" w:hAnsi="Arial" w:cs="Arial"/>
          <w:color w:val="0070C0"/>
        </w:rPr>
        <w:t xml:space="preserve"> </w:t>
      </w:r>
      <w:r>
        <w:rPr>
          <w:rFonts w:ascii="Arial" w:hAnsi="Arial" w:cs="Arial"/>
        </w:rPr>
        <w:t>will be defined as follows:</w:t>
      </w:r>
    </w:p>
    <w:p w14:paraId="6916AB5F" w14:textId="5EA818C4" w:rsidR="003A5058" w:rsidRPr="00A37B67" w:rsidRDefault="003A5058" w:rsidP="003A5058">
      <w:pPr>
        <w:pStyle w:val="ListParagraph"/>
        <w:numPr>
          <w:ilvl w:val="0"/>
          <w:numId w:val="7"/>
        </w:numPr>
        <w:spacing w:after="0" w:line="240" w:lineRule="auto"/>
        <w:rPr>
          <w:rFonts w:ascii="Arial" w:hAnsi="Arial" w:cs="Arial"/>
          <w:color w:val="000000"/>
        </w:rPr>
      </w:pPr>
      <w:r w:rsidRPr="00A37B67">
        <w:rPr>
          <w:rFonts w:ascii="Arial" w:hAnsi="Arial" w:cs="Arial"/>
        </w:rPr>
        <w:t xml:space="preserve">For children aged </w:t>
      </w:r>
      <w:r>
        <w:rPr>
          <w:rFonts w:ascii="Arial" w:hAnsi="Arial" w:cs="Arial"/>
        </w:rPr>
        <w:t>≤</w:t>
      </w:r>
      <w:r w:rsidRPr="00A37B67">
        <w:rPr>
          <w:rFonts w:ascii="Arial" w:hAnsi="Arial" w:cs="Arial"/>
        </w:rPr>
        <w:t>5 years</w:t>
      </w:r>
      <w:r>
        <w:rPr>
          <w:rFonts w:ascii="Arial" w:hAnsi="Arial" w:cs="Arial"/>
        </w:rPr>
        <w:t>:</w:t>
      </w:r>
      <w:r w:rsidRPr="00A37B67">
        <w:rPr>
          <w:rFonts w:ascii="Arial" w:hAnsi="Arial" w:cs="Arial"/>
        </w:rPr>
        <w:t xml:space="preserve"> </w:t>
      </w:r>
      <w:r>
        <w:rPr>
          <w:rFonts w:ascii="Arial" w:hAnsi="Arial" w:cs="Arial"/>
          <w:color w:val="000000"/>
        </w:rPr>
        <w:t>N</w:t>
      </w:r>
      <w:r w:rsidRPr="00A37B67">
        <w:rPr>
          <w:rFonts w:ascii="Arial" w:hAnsi="Arial" w:cs="Arial"/>
          <w:color w:val="000000"/>
        </w:rPr>
        <w:t>utritional status will be determined using the MUAC</w:t>
      </w:r>
      <w:r>
        <w:rPr>
          <w:rFonts w:ascii="Arial" w:hAnsi="Arial" w:cs="Arial"/>
          <w:color w:val="000000"/>
        </w:rPr>
        <w:t xml:space="preserve"> (mid-upper arm circumference) </w:t>
      </w:r>
      <w:r w:rsidRPr="00A37B67">
        <w:rPr>
          <w:rFonts w:ascii="Arial" w:hAnsi="Arial" w:cs="Arial"/>
          <w:color w:val="000000"/>
        </w:rPr>
        <w:t>and/or the weight-for-age z-score, using the igrowup package developed by WHO</w:t>
      </w:r>
      <w:r w:rsidR="00771871">
        <w:rPr>
          <w:rFonts w:ascii="Arial" w:hAnsi="Arial" w:cs="Arial"/>
          <w:color w:val="000000"/>
          <w:vertAlign w:val="superscript"/>
        </w:rPr>
        <w:t>9</w:t>
      </w:r>
      <w:r w:rsidRPr="00A37B67">
        <w:rPr>
          <w:rFonts w:ascii="Arial" w:hAnsi="Arial" w:cs="Arial"/>
          <w:color w:val="000000"/>
        </w:rPr>
        <w:t>. Those with weight-for-age</w:t>
      </w:r>
      <w:r>
        <w:rPr>
          <w:rFonts w:ascii="Arial" w:hAnsi="Arial" w:cs="Arial"/>
          <w:color w:val="000000"/>
        </w:rPr>
        <w:t xml:space="preserve"> or MUAC</w:t>
      </w:r>
      <w:r w:rsidRPr="00A37B67">
        <w:rPr>
          <w:rFonts w:ascii="Arial" w:hAnsi="Arial" w:cs="Arial"/>
          <w:color w:val="000000"/>
        </w:rPr>
        <w:t xml:space="preserve"> z-scores &lt; -2 (i.e. below the 3rd centile) will be classified as underweight-for-age (termed </w:t>
      </w:r>
      <w:r w:rsidRPr="001D26EB">
        <w:rPr>
          <w:rFonts w:ascii="Arial" w:hAnsi="Arial" w:cs="Arial"/>
          <w:i/>
          <w:color w:val="000000"/>
        </w:rPr>
        <w:t>underweight</w:t>
      </w:r>
      <w:r w:rsidRPr="00A37B67">
        <w:rPr>
          <w:rFonts w:ascii="Arial" w:hAnsi="Arial" w:cs="Arial"/>
          <w:color w:val="000000"/>
        </w:rPr>
        <w:t>)</w:t>
      </w:r>
      <w:r>
        <w:rPr>
          <w:rFonts w:ascii="Arial" w:hAnsi="Arial" w:cs="Arial"/>
          <w:color w:val="000000"/>
        </w:rPr>
        <w:t>.</w:t>
      </w:r>
    </w:p>
    <w:p w14:paraId="25B9545F" w14:textId="77777777" w:rsidR="003A5058" w:rsidRDefault="003A5058" w:rsidP="003A5058">
      <w:pPr>
        <w:pStyle w:val="ListParagraph"/>
        <w:numPr>
          <w:ilvl w:val="0"/>
          <w:numId w:val="6"/>
        </w:numPr>
        <w:spacing w:after="0" w:line="240" w:lineRule="auto"/>
        <w:rPr>
          <w:rFonts w:ascii="Arial" w:hAnsi="Arial" w:cs="Arial"/>
        </w:rPr>
      </w:pPr>
      <w:r>
        <w:rPr>
          <w:rFonts w:ascii="Arial" w:hAnsi="Arial" w:cs="Arial"/>
        </w:rPr>
        <w:t xml:space="preserve">For children and adults aged &gt;5 years: </w:t>
      </w:r>
      <w:r>
        <w:rPr>
          <w:rFonts w:ascii="Arial" w:hAnsi="Arial" w:cs="Arial"/>
          <w:i/>
        </w:rPr>
        <w:t>Underweight</w:t>
      </w:r>
      <w:r>
        <w:rPr>
          <w:rFonts w:ascii="Arial" w:hAnsi="Arial" w:cs="Arial"/>
        </w:rPr>
        <w:t xml:space="preserve"> will be defined as a body mass index (BMI) of &lt;18.5.</w:t>
      </w:r>
    </w:p>
    <w:p w14:paraId="51E699D3" w14:textId="77777777" w:rsidR="003A5058" w:rsidRDefault="003A5058" w:rsidP="003A5058">
      <w:pPr>
        <w:spacing w:after="0" w:line="240" w:lineRule="auto"/>
        <w:rPr>
          <w:rFonts w:ascii="Arial" w:hAnsi="Arial" w:cs="Arial"/>
        </w:rPr>
      </w:pPr>
    </w:p>
    <w:p w14:paraId="72D548DB" w14:textId="2A637977" w:rsidR="00207536" w:rsidRDefault="003A5058" w:rsidP="00207536">
      <w:pPr>
        <w:spacing w:after="0" w:line="240" w:lineRule="auto"/>
        <w:rPr>
          <w:rFonts w:ascii="Arial" w:hAnsi="Arial" w:cs="Arial"/>
        </w:rPr>
      </w:pPr>
      <w:r w:rsidRPr="00827CB0">
        <w:rPr>
          <w:rFonts w:ascii="Arial" w:hAnsi="Arial" w:cs="Arial"/>
          <w:i/>
          <w:color w:val="0070C0"/>
        </w:rPr>
        <w:t>Anaemia</w:t>
      </w:r>
      <w:r w:rsidRPr="00827CB0">
        <w:rPr>
          <w:rFonts w:ascii="Arial" w:hAnsi="Arial" w:cs="Arial"/>
          <w:color w:val="0070C0"/>
        </w:rPr>
        <w:t xml:space="preserve"> </w:t>
      </w:r>
      <w:r>
        <w:rPr>
          <w:rFonts w:ascii="Arial" w:hAnsi="Arial" w:cs="Arial"/>
        </w:rPr>
        <w:t>will be defined as haemoglobin &lt;10g/dL.</w:t>
      </w:r>
    </w:p>
    <w:p w14:paraId="453781AD" w14:textId="7D76B391" w:rsidR="00771871" w:rsidRDefault="00771871" w:rsidP="00207536">
      <w:pPr>
        <w:spacing w:after="0" w:line="240" w:lineRule="auto"/>
        <w:rPr>
          <w:rFonts w:ascii="Arial" w:hAnsi="Arial" w:cs="Arial"/>
        </w:rPr>
      </w:pPr>
    </w:p>
    <w:p w14:paraId="4DD3CD31" w14:textId="0FE57830" w:rsidR="00771871" w:rsidRPr="00F518E1" w:rsidRDefault="004802F6" w:rsidP="00207536">
      <w:pPr>
        <w:spacing w:after="0" w:line="240" w:lineRule="auto"/>
        <w:rPr>
          <w:rFonts w:ascii="Arial" w:hAnsi="Arial" w:cs="Arial"/>
        </w:rPr>
      </w:pPr>
      <w:r w:rsidRPr="004802F6">
        <w:rPr>
          <w:rFonts w:ascii="Arial" w:hAnsi="Arial" w:cs="Arial"/>
          <w:i/>
          <w:iCs/>
          <w:color w:val="0070C0"/>
        </w:rPr>
        <w:t>Elimination half-life of schizontocidal treatment</w:t>
      </w:r>
      <w:r>
        <w:rPr>
          <w:rFonts w:ascii="Arial" w:hAnsi="Arial" w:cs="Arial"/>
          <w:color w:val="0070C0"/>
        </w:rPr>
        <w:t xml:space="preserve"> </w:t>
      </w:r>
      <w:r>
        <w:rPr>
          <w:rFonts w:ascii="Arial" w:hAnsi="Arial" w:cs="Arial"/>
        </w:rPr>
        <w:t>will be categorised as “rapid”</w:t>
      </w:r>
      <w:r w:rsidR="00F518E1">
        <w:rPr>
          <w:rFonts w:ascii="Arial" w:hAnsi="Arial" w:cs="Arial"/>
        </w:rPr>
        <w:t xml:space="preserve"> – &lt;1 day</w:t>
      </w:r>
      <w:r>
        <w:rPr>
          <w:rFonts w:ascii="Arial" w:hAnsi="Arial" w:cs="Arial"/>
        </w:rPr>
        <w:t>, “intermediate”</w:t>
      </w:r>
      <w:r w:rsidR="00F518E1">
        <w:rPr>
          <w:rFonts w:ascii="Arial" w:hAnsi="Arial" w:cs="Arial"/>
        </w:rPr>
        <w:t xml:space="preserve"> – 1-7 days</w:t>
      </w:r>
      <w:r>
        <w:rPr>
          <w:rFonts w:ascii="Arial" w:hAnsi="Arial" w:cs="Arial"/>
        </w:rPr>
        <w:t>, or “slow”</w:t>
      </w:r>
      <w:r w:rsidR="00F518E1">
        <w:rPr>
          <w:rFonts w:ascii="Arial" w:hAnsi="Arial" w:cs="Arial"/>
        </w:rPr>
        <w:t xml:space="preserve"> – &gt;7 days. </w:t>
      </w:r>
      <w:r w:rsidR="00F518E1" w:rsidRPr="00F518E1">
        <w:rPr>
          <w:rFonts w:ascii="Arial" w:hAnsi="Arial" w:cs="Arial"/>
        </w:rPr>
        <w:t xml:space="preserve">Categorisation of combination therapies </w:t>
      </w:r>
      <w:r w:rsidR="00F518E1">
        <w:rPr>
          <w:rFonts w:ascii="Arial" w:hAnsi="Arial" w:cs="Arial"/>
        </w:rPr>
        <w:t xml:space="preserve">will be </w:t>
      </w:r>
      <w:r w:rsidR="00F518E1" w:rsidRPr="00F518E1">
        <w:rPr>
          <w:rFonts w:ascii="Arial" w:hAnsi="Arial" w:cs="Arial"/>
        </w:rPr>
        <w:t>based on the drug with the longest elimination half-life</w:t>
      </w:r>
      <w:r w:rsidR="00F518E1">
        <w:rPr>
          <w:rFonts w:ascii="Arial" w:hAnsi="Arial" w:cs="Arial"/>
        </w:rPr>
        <w:t xml:space="preserve">. </w:t>
      </w:r>
    </w:p>
    <w:p w14:paraId="1E478D0A" w14:textId="77777777" w:rsidR="00207536" w:rsidRPr="00F518E1" w:rsidRDefault="00207536" w:rsidP="00207536">
      <w:pPr>
        <w:spacing w:after="0" w:line="240" w:lineRule="auto"/>
        <w:rPr>
          <w:rFonts w:ascii="Arial" w:hAnsi="Arial" w:cs="Arial"/>
          <w:b/>
          <w:color w:val="0070C0"/>
        </w:rPr>
      </w:pPr>
    </w:p>
    <w:p w14:paraId="677EC39A" w14:textId="77777777" w:rsidR="002172F7" w:rsidRDefault="002172F7" w:rsidP="002172F7">
      <w:pPr>
        <w:rPr>
          <w:rFonts w:ascii="Arial" w:hAnsi="Arial" w:cs="Arial"/>
          <w:b/>
          <w:color w:val="0070C0"/>
          <w:sz w:val="24"/>
          <w:szCs w:val="24"/>
        </w:rPr>
      </w:pPr>
    </w:p>
    <w:p w14:paraId="2259FF64" w14:textId="77777777" w:rsidR="002172F7" w:rsidRDefault="002172F7" w:rsidP="002172F7">
      <w:pPr>
        <w:rPr>
          <w:rFonts w:ascii="Arial" w:hAnsi="Arial" w:cs="Arial"/>
          <w:b/>
          <w:color w:val="0070C0"/>
          <w:sz w:val="24"/>
          <w:szCs w:val="24"/>
        </w:rPr>
      </w:pPr>
    </w:p>
    <w:p w14:paraId="60169439" w14:textId="0522C7DC" w:rsidR="00207536" w:rsidRPr="00776D72" w:rsidRDefault="00157EE5" w:rsidP="002172F7">
      <w:pPr>
        <w:rPr>
          <w:rFonts w:ascii="Arial" w:hAnsi="Arial" w:cs="Arial"/>
          <w:b/>
          <w:color w:val="0070C0"/>
          <w:sz w:val="24"/>
          <w:szCs w:val="24"/>
        </w:rPr>
      </w:pPr>
      <w:r w:rsidRPr="000D5456">
        <w:rPr>
          <w:rFonts w:ascii="Arial" w:hAnsi="Arial" w:cs="Arial"/>
          <w:b/>
          <w:color w:val="0070C0"/>
          <w:sz w:val="24"/>
          <w:szCs w:val="24"/>
        </w:rPr>
        <w:t>6.</w:t>
      </w:r>
      <w:r>
        <w:rPr>
          <w:rFonts w:ascii="Arial" w:hAnsi="Arial" w:cs="Arial"/>
          <w:b/>
          <w:color w:val="0070C0"/>
          <w:sz w:val="24"/>
          <w:szCs w:val="24"/>
        </w:rPr>
        <w:t>3</w:t>
      </w:r>
      <w:r w:rsidRPr="000D5456">
        <w:rPr>
          <w:rFonts w:ascii="Arial" w:hAnsi="Arial" w:cs="Arial"/>
          <w:b/>
          <w:color w:val="0070C0"/>
          <w:sz w:val="24"/>
          <w:szCs w:val="24"/>
        </w:rPr>
        <w:t>.</w:t>
      </w:r>
      <w:r w:rsidR="003074D6" w:rsidRPr="00B07DED">
        <w:rPr>
          <w:rFonts w:ascii="Arial" w:hAnsi="Arial" w:cs="Arial"/>
          <w:b/>
          <w:color w:val="2E74B5" w:themeColor="accent5" w:themeShade="BF"/>
          <w:sz w:val="24"/>
          <w:szCs w:val="24"/>
        </w:rPr>
        <w:t>3</w:t>
      </w:r>
      <w:r w:rsidRPr="00B07DED">
        <w:rPr>
          <w:rFonts w:ascii="Arial" w:hAnsi="Arial" w:cs="Arial"/>
          <w:b/>
          <w:color w:val="2E74B5" w:themeColor="accent5" w:themeShade="BF"/>
          <w:sz w:val="24"/>
          <w:szCs w:val="24"/>
        </w:rPr>
        <w:t xml:space="preserve">   </w:t>
      </w:r>
      <w:r w:rsidR="00207536" w:rsidRPr="00B07DED">
        <w:rPr>
          <w:rFonts w:ascii="Arial" w:hAnsi="Arial" w:cs="Arial"/>
          <w:b/>
          <w:color w:val="2E74B5" w:themeColor="accent5" w:themeShade="BF"/>
          <w:sz w:val="24"/>
          <w:szCs w:val="24"/>
        </w:rPr>
        <w:t xml:space="preserve">Objective 1 – </w:t>
      </w:r>
      <w:r w:rsidR="00B07DED" w:rsidRPr="00B07DED">
        <w:rPr>
          <w:rFonts w:ascii="Arial" w:hAnsi="Arial" w:cs="Arial"/>
          <w:b/>
          <w:iCs/>
          <w:color w:val="2E74B5" w:themeColor="accent5" w:themeShade="BF"/>
          <w:sz w:val="24"/>
          <w:szCs w:val="24"/>
        </w:rPr>
        <w:t xml:space="preserve">To inform the </w:t>
      </w:r>
      <w:r w:rsidR="006F032D">
        <w:rPr>
          <w:rFonts w:ascii="Arial" w:hAnsi="Arial" w:cs="Arial"/>
          <w:b/>
          <w:iCs/>
          <w:color w:val="2E74B5" w:themeColor="accent5" w:themeShade="BF"/>
          <w:sz w:val="24"/>
          <w:szCs w:val="24"/>
        </w:rPr>
        <w:t>D</w:t>
      </w:r>
      <w:r w:rsidR="00B07DED" w:rsidRPr="00B07DED">
        <w:rPr>
          <w:rFonts w:ascii="Arial" w:hAnsi="Arial" w:cs="Arial"/>
          <w:b/>
          <w:iCs/>
          <w:color w:val="2E74B5" w:themeColor="accent5" w:themeShade="BF"/>
          <w:sz w:val="24"/>
          <w:szCs w:val="24"/>
        </w:rPr>
        <w:t xml:space="preserve">evelopment and </w:t>
      </w:r>
      <w:r w:rsidR="006F032D">
        <w:rPr>
          <w:rFonts w:ascii="Arial" w:hAnsi="Arial" w:cs="Arial"/>
          <w:b/>
          <w:iCs/>
          <w:color w:val="2E74B5" w:themeColor="accent5" w:themeShade="BF"/>
          <w:sz w:val="24"/>
          <w:szCs w:val="24"/>
        </w:rPr>
        <w:t>E</w:t>
      </w:r>
      <w:r w:rsidR="00B07DED" w:rsidRPr="00B07DED">
        <w:rPr>
          <w:rFonts w:ascii="Arial" w:hAnsi="Arial" w:cs="Arial"/>
          <w:b/>
          <w:iCs/>
          <w:color w:val="2E74B5" w:themeColor="accent5" w:themeShade="BF"/>
          <w:sz w:val="24"/>
          <w:szCs w:val="24"/>
        </w:rPr>
        <w:t xml:space="preserve">valuation of </w:t>
      </w:r>
      <w:r w:rsidR="006F032D">
        <w:rPr>
          <w:rFonts w:ascii="Arial" w:hAnsi="Arial" w:cs="Arial"/>
          <w:b/>
          <w:iCs/>
          <w:color w:val="2E74B5" w:themeColor="accent5" w:themeShade="BF"/>
          <w:sz w:val="24"/>
          <w:szCs w:val="24"/>
        </w:rPr>
        <w:t>D</w:t>
      </w:r>
      <w:r w:rsidR="00B07DED" w:rsidRPr="00B07DED">
        <w:rPr>
          <w:rFonts w:ascii="Arial" w:hAnsi="Arial" w:cs="Arial"/>
          <w:b/>
          <w:iCs/>
          <w:color w:val="2E74B5" w:themeColor="accent5" w:themeShade="BF"/>
          <w:sz w:val="24"/>
          <w:szCs w:val="24"/>
        </w:rPr>
        <w:t xml:space="preserve">iagnostics for </w:t>
      </w:r>
      <w:r w:rsidR="006F032D">
        <w:rPr>
          <w:rFonts w:ascii="Arial" w:hAnsi="Arial" w:cs="Arial"/>
          <w:b/>
          <w:iCs/>
          <w:color w:val="2E74B5" w:themeColor="accent5" w:themeShade="BF"/>
          <w:sz w:val="24"/>
          <w:szCs w:val="24"/>
        </w:rPr>
        <w:t>C</w:t>
      </w:r>
      <w:r w:rsidR="00B07DED" w:rsidRPr="00B07DED">
        <w:rPr>
          <w:rFonts w:ascii="Arial" w:hAnsi="Arial" w:cs="Arial"/>
          <w:b/>
          <w:iCs/>
          <w:color w:val="2E74B5" w:themeColor="accent5" w:themeShade="BF"/>
          <w:sz w:val="24"/>
          <w:szCs w:val="24"/>
        </w:rPr>
        <w:t xml:space="preserve">linical </w:t>
      </w:r>
      <w:r w:rsidR="006F032D">
        <w:rPr>
          <w:rFonts w:ascii="Arial" w:hAnsi="Arial" w:cs="Arial"/>
          <w:b/>
          <w:iCs/>
          <w:color w:val="2E74B5" w:themeColor="accent5" w:themeShade="BF"/>
          <w:sz w:val="24"/>
          <w:szCs w:val="24"/>
        </w:rPr>
        <w:t>V</w:t>
      </w:r>
      <w:r w:rsidR="00B07DED" w:rsidRPr="00B07DED">
        <w:rPr>
          <w:rFonts w:ascii="Arial" w:hAnsi="Arial" w:cs="Arial"/>
          <w:b/>
          <w:iCs/>
          <w:color w:val="2E74B5" w:themeColor="accent5" w:themeShade="BF"/>
          <w:sz w:val="24"/>
          <w:szCs w:val="24"/>
        </w:rPr>
        <w:t xml:space="preserve">ivax </w:t>
      </w:r>
      <w:r w:rsidR="006F032D">
        <w:rPr>
          <w:rFonts w:ascii="Arial" w:hAnsi="Arial" w:cs="Arial"/>
          <w:b/>
          <w:iCs/>
          <w:color w:val="2E74B5" w:themeColor="accent5" w:themeShade="BF"/>
          <w:sz w:val="24"/>
          <w:szCs w:val="24"/>
        </w:rPr>
        <w:t>M</w:t>
      </w:r>
      <w:r w:rsidR="00B07DED" w:rsidRPr="00B07DED">
        <w:rPr>
          <w:rFonts w:ascii="Arial" w:hAnsi="Arial" w:cs="Arial"/>
          <w:b/>
          <w:iCs/>
          <w:color w:val="2E74B5" w:themeColor="accent5" w:themeShade="BF"/>
          <w:sz w:val="24"/>
          <w:szCs w:val="24"/>
        </w:rPr>
        <w:t>alaria</w:t>
      </w:r>
    </w:p>
    <w:p w14:paraId="555FC312" w14:textId="4364B3F0" w:rsidR="006F032D" w:rsidRPr="00776D72" w:rsidRDefault="006F032D" w:rsidP="006F032D">
      <w:pPr>
        <w:pStyle w:val="Default"/>
        <w:rPr>
          <w:rFonts w:ascii="Arial" w:hAnsi="Arial" w:cs="Arial"/>
          <w:b/>
          <w:color w:val="0070C0"/>
          <w:sz w:val="22"/>
          <w:szCs w:val="22"/>
        </w:rPr>
      </w:pPr>
    </w:p>
    <w:p w14:paraId="3792EEB6" w14:textId="77777777" w:rsidR="006F032D" w:rsidRDefault="006F032D" w:rsidP="006F032D">
      <w:pPr>
        <w:spacing w:after="0" w:line="240" w:lineRule="auto"/>
        <w:rPr>
          <w:rFonts w:ascii="Arial" w:hAnsi="Arial" w:cs="Arial"/>
          <w:b/>
          <w:color w:val="0070C0"/>
        </w:rPr>
      </w:pPr>
      <w:r w:rsidRPr="006F032D">
        <w:rPr>
          <w:rFonts w:ascii="Arial" w:hAnsi="Arial" w:cs="Arial"/>
          <w:b/>
          <w:color w:val="0070C0"/>
        </w:rPr>
        <w:t>Objective 1a)</w:t>
      </w:r>
    </w:p>
    <w:p w14:paraId="60BB3191" w14:textId="6ED56C48" w:rsidR="00ED4CBF" w:rsidRPr="00294745" w:rsidRDefault="00ED4CBF" w:rsidP="00ED4CBF">
      <w:pPr>
        <w:spacing w:after="0" w:line="240" w:lineRule="auto"/>
        <w:rPr>
          <w:rFonts w:ascii="Arial" w:hAnsi="Arial" w:cs="Arial"/>
          <w:bCs/>
          <w:i/>
          <w:iCs/>
          <w:color w:val="2E74B5" w:themeColor="accent5" w:themeShade="BF"/>
        </w:rPr>
      </w:pPr>
      <w:r w:rsidRPr="00294745">
        <w:rPr>
          <w:rFonts w:ascii="Arial" w:hAnsi="Arial" w:cs="Arial"/>
          <w:bCs/>
          <w:i/>
          <w:iCs/>
          <w:color w:val="2E74B5" w:themeColor="accent5" w:themeShade="BF"/>
        </w:rPr>
        <w:t xml:space="preserve">To estimate the P. vivax parasitaemia </w:t>
      </w:r>
      <w:r w:rsidR="00294745" w:rsidRPr="00294745">
        <w:rPr>
          <w:rFonts w:ascii="Arial" w:hAnsi="Arial" w:cs="Arial"/>
          <w:i/>
          <w:iCs/>
          <w:color w:val="2E74B5" w:themeColor="accent5" w:themeShade="BF"/>
        </w:rPr>
        <w:t>threshold</w:t>
      </w:r>
      <w:r w:rsidR="004E4D97">
        <w:rPr>
          <w:rFonts w:ascii="Arial" w:hAnsi="Arial" w:cs="Arial"/>
          <w:i/>
          <w:iCs/>
          <w:color w:val="2E74B5" w:themeColor="accent5" w:themeShade="BF"/>
        </w:rPr>
        <w:t>s</w:t>
      </w:r>
      <w:r w:rsidR="00294745" w:rsidRPr="00294745">
        <w:rPr>
          <w:rFonts w:ascii="Arial" w:hAnsi="Arial" w:cs="Arial"/>
          <w:i/>
          <w:iCs/>
          <w:color w:val="2E74B5" w:themeColor="accent5" w:themeShade="BF"/>
        </w:rPr>
        <w:t xml:space="preserve"> which capture</w:t>
      </w:r>
      <w:r w:rsidR="004E4D97">
        <w:rPr>
          <w:rFonts w:ascii="Arial" w:hAnsi="Arial" w:cs="Arial"/>
          <w:i/>
          <w:iCs/>
          <w:color w:val="2E74B5" w:themeColor="accent5" w:themeShade="BF"/>
        </w:rPr>
        <w:t xml:space="preserve"> percentages </w:t>
      </w:r>
      <w:r w:rsidR="00294745" w:rsidRPr="00294745">
        <w:rPr>
          <w:rFonts w:ascii="Arial" w:hAnsi="Arial" w:cs="Arial"/>
          <w:i/>
          <w:iCs/>
          <w:color w:val="2E74B5" w:themeColor="accent5" w:themeShade="BF"/>
        </w:rPr>
        <w:t xml:space="preserve">of patients </w:t>
      </w:r>
      <w:r w:rsidR="00294745" w:rsidRPr="00294745">
        <w:rPr>
          <w:rFonts w:ascii="Arial" w:hAnsi="Arial" w:cs="Arial"/>
          <w:bCs/>
          <w:i/>
          <w:iCs/>
          <w:color w:val="2E74B5" w:themeColor="accent5" w:themeShade="BF"/>
        </w:rPr>
        <w:t xml:space="preserve">with fever and/or a recent history of fever </w:t>
      </w:r>
      <w:r w:rsidR="00294745" w:rsidRPr="00294745">
        <w:rPr>
          <w:rFonts w:ascii="Arial" w:hAnsi="Arial" w:cs="Arial"/>
          <w:i/>
          <w:iCs/>
          <w:color w:val="2E74B5" w:themeColor="accent5" w:themeShade="BF"/>
        </w:rPr>
        <w:t>who present for treatment</w:t>
      </w:r>
      <w:r w:rsidR="00294745" w:rsidRPr="00294745">
        <w:rPr>
          <w:rFonts w:ascii="Arial" w:hAnsi="Arial" w:cs="Arial"/>
          <w:bCs/>
          <w:i/>
          <w:iCs/>
          <w:color w:val="2E74B5" w:themeColor="accent5" w:themeShade="BF"/>
        </w:rPr>
        <w:t xml:space="preserve"> </w:t>
      </w:r>
      <w:r w:rsidR="00A111E8" w:rsidRPr="00294745">
        <w:rPr>
          <w:rFonts w:ascii="Arial" w:hAnsi="Arial" w:cs="Arial"/>
          <w:bCs/>
          <w:i/>
          <w:iCs/>
          <w:color w:val="2E74B5" w:themeColor="accent5" w:themeShade="BF"/>
        </w:rPr>
        <w:t>in initial infections</w:t>
      </w:r>
      <w:r w:rsidRPr="00294745">
        <w:rPr>
          <w:rFonts w:ascii="Arial" w:hAnsi="Arial" w:cs="Arial"/>
          <w:bCs/>
          <w:i/>
          <w:iCs/>
          <w:color w:val="2E74B5" w:themeColor="accent5" w:themeShade="BF"/>
        </w:rPr>
        <w:t>: overall, in different age groups, and in different endemic regions.</w:t>
      </w:r>
    </w:p>
    <w:p w14:paraId="10813BCE" w14:textId="77777777" w:rsidR="006F032D" w:rsidRDefault="006F032D" w:rsidP="00207536">
      <w:pPr>
        <w:pStyle w:val="Default"/>
        <w:rPr>
          <w:rFonts w:ascii="Arial" w:hAnsi="Arial" w:cs="Arial"/>
          <w:b/>
          <w:color w:val="0070C0"/>
        </w:rPr>
      </w:pPr>
    </w:p>
    <w:p w14:paraId="7AA00C72" w14:textId="5518E647" w:rsidR="0009581B" w:rsidRPr="00776D72" w:rsidRDefault="00207536" w:rsidP="0009581B">
      <w:pPr>
        <w:spacing w:after="0"/>
        <w:rPr>
          <w:rFonts w:ascii="Arial" w:hAnsi="Arial" w:cs="Arial"/>
          <w:bCs/>
        </w:rPr>
      </w:pPr>
      <w:r>
        <w:rPr>
          <w:rFonts w:ascii="Arial" w:hAnsi="Arial" w:cs="Arial"/>
          <w:bCs/>
        </w:rPr>
        <w:t xml:space="preserve">Clinical efficacy studies in which no </w:t>
      </w:r>
      <w:r>
        <w:rPr>
          <w:rFonts w:ascii="Arial" w:hAnsi="Arial" w:cs="Arial"/>
          <w:bCs/>
          <w:i/>
          <w:iCs/>
        </w:rPr>
        <w:t xml:space="preserve">P. vivax </w:t>
      </w:r>
      <w:r>
        <w:rPr>
          <w:rFonts w:ascii="Arial" w:hAnsi="Arial" w:cs="Arial"/>
          <w:bCs/>
        </w:rPr>
        <w:t xml:space="preserve">parasitaemia threshold was applied </w:t>
      </w:r>
      <w:r w:rsidRPr="00331D68">
        <w:rPr>
          <w:rFonts w:ascii="Arial" w:hAnsi="Arial" w:cs="Arial"/>
          <w:bCs/>
        </w:rPr>
        <w:t>for enrolment</w:t>
      </w:r>
      <w:r>
        <w:rPr>
          <w:rFonts w:ascii="Arial" w:hAnsi="Arial" w:cs="Arial"/>
          <w:bCs/>
        </w:rPr>
        <w:t xml:space="preserve"> will be selected to investigate the distribution of parasitaemia </w:t>
      </w:r>
      <w:r w:rsidR="004E4D97">
        <w:rPr>
          <w:rFonts w:ascii="Arial" w:hAnsi="Arial" w:cs="Arial"/>
          <w:bCs/>
        </w:rPr>
        <w:t xml:space="preserve">in febrile patients </w:t>
      </w:r>
      <w:r>
        <w:rPr>
          <w:rFonts w:ascii="Arial" w:hAnsi="Arial" w:cs="Arial"/>
          <w:bCs/>
        </w:rPr>
        <w:t>at presentation. This distribution will be described for:</w:t>
      </w:r>
    </w:p>
    <w:p w14:paraId="2B078EA4" w14:textId="77777777" w:rsidR="00207536" w:rsidRDefault="00207536" w:rsidP="00207536">
      <w:pPr>
        <w:pStyle w:val="ListParagraph"/>
        <w:numPr>
          <w:ilvl w:val="0"/>
          <w:numId w:val="20"/>
        </w:numPr>
        <w:spacing w:after="0" w:line="240" w:lineRule="auto"/>
        <w:rPr>
          <w:rFonts w:ascii="Arial" w:hAnsi="Arial" w:cs="Arial"/>
          <w:bCs/>
        </w:rPr>
      </w:pPr>
      <w:r>
        <w:rPr>
          <w:rFonts w:ascii="Arial" w:hAnsi="Arial" w:cs="Arial"/>
          <w:bCs/>
        </w:rPr>
        <w:t>All eligible studies</w:t>
      </w:r>
    </w:p>
    <w:p w14:paraId="5BF7F0C2" w14:textId="21EE7D64" w:rsidR="00207536" w:rsidRPr="00502E60" w:rsidRDefault="00207536" w:rsidP="00207536">
      <w:pPr>
        <w:pStyle w:val="ListParagraph"/>
        <w:numPr>
          <w:ilvl w:val="0"/>
          <w:numId w:val="20"/>
        </w:numPr>
        <w:spacing w:after="0" w:line="240" w:lineRule="auto"/>
        <w:rPr>
          <w:rFonts w:ascii="Arial" w:hAnsi="Arial" w:cs="Arial"/>
          <w:bCs/>
        </w:rPr>
      </w:pPr>
      <w:r>
        <w:rPr>
          <w:rFonts w:ascii="Arial" w:hAnsi="Arial" w:cs="Arial"/>
          <w:color w:val="000000"/>
        </w:rPr>
        <w:t xml:space="preserve">Participants in each age group for all eligible studies (as defined </w:t>
      </w:r>
      <w:r w:rsidR="00584EEB">
        <w:rPr>
          <w:rFonts w:ascii="Arial" w:hAnsi="Arial" w:cs="Arial"/>
          <w:color w:val="000000"/>
        </w:rPr>
        <w:t>above</w:t>
      </w:r>
      <w:r>
        <w:rPr>
          <w:rFonts w:ascii="Arial" w:hAnsi="Arial" w:cs="Arial"/>
          <w:color w:val="000000"/>
        </w:rPr>
        <w:t>)</w:t>
      </w:r>
    </w:p>
    <w:p w14:paraId="51DC31BF" w14:textId="69CC247E" w:rsidR="00207536" w:rsidRPr="007C3212" w:rsidRDefault="00207536" w:rsidP="00207536">
      <w:pPr>
        <w:pStyle w:val="ListParagraph"/>
        <w:numPr>
          <w:ilvl w:val="0"/>
          <w:numId w:val="20"/>
        </w:numPr>
        <w:spacing w:after="0" w:line="240" w:lineRule="auto"/>
        <w:rPr>
          <w:rFonts w:ascii="Arial" w:hAnsi="Arial" w:cs="Arial"/>
          <w:bCs/>
        </w:rPr>
      </w:pPr>
      <w:r>
        <w:rPr>
          <w:rFonts w:ascii="Arial" w:hAnsi="Arial" w:cs="Arial"/>
          <w:bCs/>
        </w:rPr>
        <w:t xml:space="preserve">All eligible studies </w:t>
      </w:r>
      <w:r w:rsidRPr="00526811">
        <w:rPr>
          <w:rFonts w:ascii="Arial" w:hAnsi="Arial" w:cs="Arial"/>
          <w:bCs/>
        </w:rPr>
        <w:t xml:space="preserve">in </w:t>
      </w:r>
      <w:r w:rsidRPr="00526811">
        <w:rPr>
          <w:rFonts w:ascii="Arial" w:hAnsi="Arial" w:cs="Arial"/>
          <w:color w:val="000000"/>
        </w:rPr>
        <w:t xml:space="preserve">each </w:t>
      </w:r>
      <w:r>
        <w:rPr>
          <w:rFonts w:ascii="Arial" w:hAnsi="Arial" w:cs="Arial"/>
          <w:color w:val="000000"/>
        </w:rPr>
        <w:t xml:space="preserve">category </w:t>
      </w:r>
      <w:r w:rsidRPr="00526811">
        <w:rPr>
          <w:rFonts w:ascii="Arial" w:hAnsi="Arial" w:cs="Arial"/>
          <w:color w:val="000000"/>
        </w:rPr>
        <w:t xml:space="preserve">of </w:t>
      </w:r>
      <w:r w:rsidR="00DB7D22">
        <w:rPr>
          <w:rFonts w:ascii="Arial" w:hAnsi="Arial" w:cs="Arial"/>
          <w:color w:val="000000"/>
        </w:rPr>
        <w:t>relapse periodicity</w:t>
      </w:r>
      <w:r w:rsidR="004E4D97">
        <w:rPr>
          <w:rFonts w:ascii="Arial" w:hAnsi="Arial" w:cs="Arial"/>
          <w:color w:val="000000"/>
        </w:rPr>
        <w:t xml:space="preserve"> </w:t>
      </w:r>
      <w:r w:rsidRPr="00526811">
        <w:rPr>
          <w:rFonts w:ascii="Arial" w:hAnsi="Arial" w:cs="Arial"/>
          <w:color w:val="000000"/>
        </w:rPr>
        <w:t xml:space="preserve">(as defined </w:t>
      </w:r>
      <w:r w:rsidR="00584EEB">
        <w:rPr>
          <w:rFonts w:ascii="Arial" w:hAnsi="Arial" w:cs="Arial"/>
          <w:color w:val="000000"/>
        </w:rPr>
        <w:t>above</w:t>
      </w:r>
      <w:r w:rsidRPr="00526811">
        <w:rPr>
          <w:rFonts w:ascii="Arial" w:hAnsi="Arial" w:cs="Arial"/>
          <w:color w:val="000000"/>
        </w:rPr>
        <w:t>)</w:t>
      </w:r>
    </w:p>
    <w:p w14:paraId="076D3C1D" w14:textId="4742DF18" w:rsidR="00207536" w:rsidRPr="00584EEB" w:rsidRDefault="00207536" w:rsidP="00207536">
      <w:pPr>
        <w:pStyle w:val="ListParagraph"/>
        <w:numPr>
          <w:ilvl w:val="0"/>
          <w:numId w:val="20"/>
        </w:numPr>
        <w:spacing w:after="0" w:line="240" w:lineRule="auto"/>
        <w:rPr>
          <w:rFonts w:ascii="Arial" w:hAnsi="Arial" w:cs="Arial"/>
          <w:bCs/>
        </w:rPr>
      </w:pPr>
      <w:r>
        <w:rPr>
          <w:rFonts w:ascii="Arial" w:hAnsi="Arial" w:cs="Arial"/>
          <w:color w:val="000000"/>
        </w:rPr>
        <w:t xml:space="preserve">Participants in each age group for all eligible studies within each category of </w:t>
      </w:r>
      <w:r w:rsidR="00DB7D22">
        <w:rPr>
          <w:rFonts w:ascii="Arial" w:hAnsi="Arial" w:cs="Arial"/>
          <w:color w:val="000000"/>
        </w:rPr>
        <w:t>relapse periodicity</w:t>
      </w:r>
      <w:r w:rsidR="004E4D97">
        <w:rPr>
          <w:rFonts w:ascii="Arial" w:hAnsi="Arial" w:cs="Arial"/>
          <w:color w:val="000000"/>
        </w:rPr>
        <w:t xml:space="preserve"> </w:t>
      </w:r>
    </w:p>
    <w:p w14:paraId="0E271625" w14:textId="77777777" w:rsidR="00584EEB" w:rsidRPr="00A05895" w:rsidRDefault="00584EEB" w:rsidP="00584EEB">
      <w:pPr>
        <w:pStyle w:val="ListParagraph"/>
        <w:spacing w:after="0" w:line="240" w:lineRule="auto"/>
        <w:ind w:left="1080"/>
        <w:rPr>
          <w:rFonts w:ascii="Arial" w:hAnsi="Arial" w:cs="Arial"/>
          <w:bCs/>
        </w:rPr>
      </w:pPr>
    </w:p>
    <w:p w14:paraId="04A7E235" w14:textId="7914335C" w:rsidR="00207536" w:rsidRDefault="00207536" w:rsidP="00207536">
      <w:pPr>
        <w:spacing w:after="0" w:line="240" w:lineRule="auto"/>
        <w:rPr>
          <w:rFonts w:ascii="Arial" w:hAnsi="Arial" w:cs="Arial"/>
          <w:color w:val="000000"/>
        </w:rPr>
      </w:pPr>
      <w:r w:rsidRPr="005441BE">
        <w:rPr>
          <w:rFonts w:ascii="Arial" w:hAnsi="Arial" w:cs="Arial"/>
          <w:color w:val="000000"/>
        </w:rPr>
        <w:t>using the mean and standard deviation if the data are normally distributed, geometric mean and 9</w:t>
      </w:r>
      <w:r w:rsidR="00E410C2">
        <w:rPr>
          <w:rFonts w:ascii="Arial" w:hAnsi="Arial" w:cs="Arial"/>
          <w:color w:val="000000"/>
        </w:rPr>
        <w:t>5</w:t>
      </w:r>
      <w:r w:rsidRPr="005441BE">
        <w:rPr>
          <w:rFonts w:ascii="Arial" w:hAnsi="Arial" w:cs="Arial"/>
          <w:color w:val="000000"/>
        </w:rPr>
        <w:t>% reference range if the data are normally distributed following a log transformation, or the median and interquartile range if the data are non-normally distributed.</w:t>
      </w:r>
      <w:r>
        <w:rPr>
          <w:rFonts w:ascii="Arial" w:hAnsi="Arial" w:cs="Arial"/>
          <w:color w:val="000000"/>
        </w:rPr>
        <w:t xml:space="preserve"> </w:t>
      </w:r>
    </w:p>
    <w:p w14:paraId="379DAB2D" w14:textId="77777777" w:rsidR="00207536" w:rsidRDefault="00207536" w:rsidP="00207536">
      <w:pPr>
        <w:spacing w:after="0" w:line="240" w:lineRule="auto"/>
        <w:rPr>
          <w:rFonts w:ascii="Arial" w:hAnsi="Arial" w:cs="Arial"/>
          <w:color w:val="000000"/>
        </w:rPr>
      </w:pPr>
    </w:p>
    <w:p w14:paraId="5B4FA939" w14:textId="49C6AF9C" w:rsidR="004E1897" w:rsidRDefault="004E1897" w:rsidP="004E1897">
      <w:pPr>
        <w:spacing w:after="0" w:line="240" w:lineRule="auto"/>
        <w:rPr>
          <w:rFonts w:ascii="Arial" w:hAnsi="Arial" w:cs="Arial"/>
          <w:color w:val="000000"/>
        </w:rPr>
      </w:pPr>
    </w:p>
    <w:p w14:paraId="04ECCE35" w14:textId="57C88F30" w:rsidR="004E1897" w:rsidRPr="004F6E61" w:rsidRDefault="004E1897" w:rsidP="004E1897">
      <w:pPr>
        <w:spacing w:after="0" w:line="240" w:lineRule="auto"/>
        <w:rPr>
          <w:rFonts w:ascii="Arial" w:hAnsi="Arial" w:cs="Arial"/>
          <w:color w:val="000000"/>
        </w:rPr>
      </w:pPr>
      <w:r w:rsidRPr="004F6E61">
        <w:rPr>
          <w:rFonts w:ascii="Arial" w:hAnsi="Arial" w:cs="Arial"/>
          <w:color w:val="000000"/>
        </w:rPr>
        <w:t xml:space="preserve">The </w:t>
      </w:r>
      <w:r w:rsidR="000340FA">
        <w:rPr>
          <w:rFonts w:ascii="Arial" w:hAnsi="Arial" w:cs="Arial"/>
          <w:color w:val="000000"/>
        </w:rPr>
        <w:t>10</w:t>
      </w:r>
      <w:r w:rsidRPr="004F6E61">
        <w:rPr>
          <w:rFonts w:ascii="Arial" w:hAnsi="Arial" w:cs="Arial"/>
          <w:color w:val="000000"/>
          <w:vertAlign w:val="superscript"/>
        </w:rPr>
        <w:t>th</w:t>
      </w:r>
      <w:r w:rsidRPr="004F6E61">
        <w:rPr>
          <w:rFonts w:ascii="Arial" w:hAnsi="Arial" w:cs="Arial"/>
          <w:color w:val="000000"/>
        </w:rPr>
        <w:t xml:space="preserve"> centile of </w:t>
      </w:r>
      <w:r w:rsidRPr="004F6E61">
        <w:rPr>
          <w:rFonts w:ascii="Arial" w:hAnsi="Arial" w:cs="Arial"/>
          <w:i/>
          <w:iCs/>
          <w:color w:val="000000"/>
        </w:rPr>
        <w:t>P. vivax</w:t>
      </w:r>
      <w:r w:rsidRPr="004F6E61">
        <w:rPr>
          <w:rFonts w:ascii="Arial" w:hAnsi="Arial" w:cs="Arial"/>
          <w:color w:val="000000"/>
        </w:rPr>
        <w:t xml:space="preserve"> parasitaemia will be determined for all participants with a fever and/or a recent history of fever at presentation. In addition, subgroup analysis will be undertaken for each age group and </w:t>
      </w:r>
      <w:r w:rsidR="00D1012F">
        <w:rPr>
          <w:rFonts w:ascii="Arial" w:hAnsi="Arial" w:cs="Arial"/>
          <w:color w:val="000000"/>
        </w:rPr>
        <w:t>relapse periodicity</w:t>
      </w:r>
      <w:r w:rsidRPr="004F6E61">
        <w:rPr>
          <w:rFonts w:ascii="Arial" w:hAnsi="Arial" w:cs="Arial"/>
          <w:color w:val="000000"/>
        </w:rPr>
        <w:t xml:space="preserve"> setting.</w:t>
      </w:r>
    </w:p>
    <w:p w14:paraId="0BAF6B5F" w14:textId="77777777" w:rsidR="004E1897" w:rsidRPr="004F6E61" w:rsidRDefault="004E1897" w:rsidP="004E1897">
      <w:pPr>
        <w:spacing w:after="0" w:line="240" w:lineRule="auto"/>
        <w:rPr>
          <w:rFonts w:ascii="Arial" w:hAnsi="Arial" w:cs="Arial"/>
          <w:color w:val="000000"/>
        </w:rPr>
      </w:pPr>
    </w:p>
    <w:p w14:paraId="63B6E41E" w14:textId="7F936053" w:rsidR="004E1897" w:rsidRPr="004F6E61" w:rsidRDefault="004E1897" w:rsidP="004E1897">
      <w:pPr>
        <w:spacing w:after="0" w:line="240" w:lineRule="auto"/>
        <w:rPr>
          <w:rFonts w:ascii="Arial" w:hAnsi="Arial" w:cs="Arial"/>
          <w:color w:val="000000"/>
        </w:rPr>
      </w:pPr>
      <w:r w:rsidRPr="004F6E61">
        <w:rPr>
          <w:rFonts w:ascii="Arial" w:hAnsi="Arial" w:cs="Arial"/>
          <w:color w:val="000000"/>
        </w:rPr>
        <w:t xml:space="preserve">These values will correspond to the </w:t>
      </w:r>
      <w:r w:rsidRPr="004F6E61">
        <w:rPr>
          <w:rFonts w:ascii="Arial" w:hAnsi="Arial" w:cs="Arial"/>
          <w:i/>
          <w:iCs/>
          <w:color w:val="000000"/>
        </w:rPr>
        <w:t>P. vivax</w:t>
      </w:r>
      <w:r w:rsidRPr="004F6E61">
        <w:rPr>
          <w:rFonts w:ascii="Arial" w:hAnsi="Arial" w:cs="Arial"/>
          <w:color w:val="000000"/>
        </w:rPr>
        <w:t xml:space="preserve"> parasite density above which 9</w:t>
      </w:r>
      <w:r w:rsidR="001F3544">
        <w:rPr>
          <w:rFonts w:ascii="Arial" w:hAnsi="Arial" w:cs="Arial"/>
          <w:color w:val="000000"/>
        </w:rPr>
        <w:t>0</w:t>
      </w:r>
      <w:r w:rsidRPr="004F6E61">
        <w:rPr>
          <w:rFonts w:ascii="Arial" w:hAnsi="Arial" w:cs="Arial"/>
          <w:color w:val="000000"/>
        </w:rPr>
        <w:t>% of the specified population are captured. The 1</w:t>
      </w:r>
      <w:r w:rsidRPr="004F6E61">
        <w:rPr>
          <w:rFonts w:ascii="Arial" w:hAnsi="Arial" w:cs="Arial"/>
          <w:color w:val="000000"/>
          <w:vertAlign w:val="superscript"/>
        </w:rPr>
        <w:t>st</w:t>
      </w:r>
      <w:r w:rsidRPr="004F6E61">
        <w:rPr>
          <w:rFonts w:ascii="Arial" w:hAnsi="Arial" w:cs="Arial"/>
          <w:color w:val="000000"/>
        </w:rPr>
        <w:t xml:space="preserve">, </w:t>
      </w:r>
      <w:r w:rsidR="001F3544">
        <w:rPr>
          <w:rFonts w:ascii="Arial" w:hAnsi="Arial" w:cs="Arial"/>
          <w:color w:val="000000"/>
        </w:rPr>
        <w:t>5</w:t>
      </w:r>
      <w:r w:rsidRPr="004F6E61">
        <w:rPr>
          <w:rFonts w:ascii="Arial" w:hAnsi="Arial" w:cs="Arial"/>
          <w:color w:val="000000"/>
          <w:vertAlign w:val="superscript"/>
        </w:rPr>
        <w:t>th</w:t>
      </w:r>
      <w:r w:rsidRPr="004F6E61">
        <w:rPr>
          <w:rFonts w:ascii="Arial" w:hAnsi="Arial" w:cs="Arial"/>
          <w:color w:val="000000"/>
        </w:rPr>
        <w:t>, 25</w:t>
      </w:r>
      <w:r w:rsidRPr="004F6E61">
        <w:rPr>
          <w:rFonts w:ascii="Arial" w:hAnsi="Arial" w:cs="Arial"/>
          <w:color w:val="000000"/>
          <w:vertAlign w:val="superscript"/>
        </w:rPr>
        <w:t>th</w:t>
      </w:r>
      <w:r w:rsidRPr="004F6E61">
        <w:rPr>
          <w:rFonts w:ascii="Arial" w:hAnsi="Arial" w:cs="Arial"/>
          <w:color w:val="000000"/>
        </w:rPr>
        <w:t>, and 50</w:t>
      </w:r>
      <w:r w:rsidRPr="004F6E61">
        <w:rPr>
          <w:rFonts w:ascii="Arial" w:hAnsi="Arial" w:cs="Arial"/>
          <w:color w:val="000000"/>
          <w:vertAlign w:val="superscript"/>
        </w:rPr>
        <w:t>th</w:t>
      </w:r>
      <w:r w:rsidRPr="004F6E61">
        <w:rPr>
          <w:rFonts w:ascii="Arial" w:hAnsi="Arial" w:cs="Arial"/>
          <w:color w:val="000000"/>
        </w:rPr>
        <w:t xml:space="preserve"> centiles will also be determined to demonstrate trends in the groups listed above.</w:t>
      </w:r>
    </w:p>
    <w:p w14:paraId="664BCC63" w14:textId="77777777" w:rsidR="004E1897" w:rsidRPr="004E1897" w:rsidRDefault="004E1897" w:rsidP="004E1897">
      <w:pPr>
        <w:spacing w:after="0" w:line="240" w:lineRule="auto"/>
        <w:rPr>
          <w:rFonts w:ascii="Arial" w:hAnsi="Arial" w:cs="Arial"/>
          <w:color w:val="000000"/>
        </w:rPr>
      </w:pPr>
    </w:p>
    <w:p w14:paraId="60EF4C17" w14:textId="1ABE2C11" w:rsidR="00DB121B" w:rsidRPr="00776D72" w:rsidRDefault="00A76CFD" w:rsidP="00776D72">
      <w:pPr>
        <w:spacing w:after="0"/>
        <w:rPr>
          <w:rFonts w:ascii="Arial" w:hAnsi="Arial" w:cs="Arial"/>
          <w:bCs/>
        </w:rPr>
      </w:pPr>
      <w:r>
        <w:rPr>
          <w:rFonts w:ascii="Arial" w:hAnsi="Arial" w:cs="Arial"/>
          <w:color w:val="000000"/>
        </w:rPr>
        <w:t xml:space="preserve">A graph of percentage of “febrile” patients captured versus </w:t>
      </w:r>
      <w:r>
        <w:rPr>
          <w:rFonts w:ascii="Arial" w:hAnsi="Arial" w:cs="Arial"/>
          <w:i/>
          <w:iCs/>
          <w:color w:val="000000"/>
        </w:rPr>
        <w:t xml:space="preserve">P. vivax </w:t>
      </w:r>
      <w:r>
        <w:rPr>
          <w:rFonts w:ascii="Arial" w:hAnsi="Arial" w:cs="Arial"/>
          <w:color w:val="000000"/>
        </w:rPr>
        <w:t>parasitaemia will be presented</w:t>
      </w:r>
      <w:r w:rsidR="004F6E61">
        <w:rPr>
          <w:rFonts w:ascii="Arial" w:hAnsi="Arial" w:cs="Arial"/>
          <w:color w:val="000000"/>
        </w:rPr>
        <w:t>, and forest plots will be constructed to explore study site effects.</w:t>
      </w:r>
      <w:r>
        <w:rPr>
          <w:rFonts w:ascii="Arial" w:hAnsi="Arial" w:cs="Arial"/>
          <w:color w:val="000000"/>
        </w:rPr>
        <w:t xml:space="preserve"> </w:t>
      </w:r>
      <w:r w:rsidR="00207536">
        <w:rPr>
          <w:rFonts w:ascii="Arial" w:hAnsi="Arial" w:cs="Arial"/>
          <w:color w:val="000000"/>
        </w:rPr>
        <w:t xml:space="preserve">We anticipate that the vast majority of (if not all) patients </w:t>
      </w:r>
      <w:r w:rsidR="00207536">
        <w:rPr>
          <w:rFonts w:ascii="Arial" w:hAnsi="Arial" w:cs="Arial"/>
          <w:bCs/>
        </w:rPr>
        <w:t>will have been febrile or have had a recent fever at the time of enrolment and initial parasitaemia measurement. Therefore, it would not be possible to compare those with and without fever in this context.</w:t>
      </w:r>
    </w:p>
    <w:p w14:paraId="483C317D" w14:textId="2935F399" w:rsidR="00A306EB" w:rsidRDefault="00A306EB" w:rsidP="002172F7">
      <w:pPr>
        <w:rPr>
          <w:rFonts w:ascii="Arial" w:hAnsi="Arial" w:cs="Arial"/>
          <w:b/>
          <w:color w:val="0070C0"/>
        </w:rPr>
      </w:pPr>
    </w:p>
    <w:p w14:paraId="47A46E56" w14:textId="77777777" w:rsidR="00593C0A" w:rsidRDefault="00593C0A" w:rsidP="002172F7">
      <w:pPr>
        <w:rPr>
          <w:rFonts w:ascii="Arial" w:hAnsi="Arial" w:cs="Arial"/>
          <w:b/>
          <w:color w:val="0070C0"/>
        </w:rPr>
      </w:pPr>
    </w:p>
    <w:p w14:paraId="106E25C8" w14:textId="2655E4ED" w:rsidR="003C1995" w:rsidRDefault="003C1995" w:rsidP="002172F7">
      <w:pPr>
        <w:rPr>
          <w:rFonts w:ascii="Arial" w:hAnsi="Arial" w:cs="Arial"/>
          <w:b/>
          <w:color w:val="0070C0"/>
        </w:rPr>
      </w:pPr>
      <w:r w:rsidRPr="006F032D">
        <w:rPr>
          <w:rFonts w:ascii="Arial" w:hAnsi="Arial" w:cs="Arial"/>
          <w:b/>
          <w:color w:val="0070C0"/>
        </w:rPr>
        <w:t>Objective 1</w:t>
      </w:r>
      <w:r w:rsidR="00ED4CBF">
        <w:rPr>
          <w:rFonts w:ascii="Arial" w:hAnsi="Arial" w:cs="Arial"/>
          <w:b/>
          <w:color w:val="0070C0"/>
        </w:rPr>
        <w:t>b</w:t>
      </w:r>
      <w:r w:rsidRPr="006F032D">
        <w:rPr>
          <w:rFonts w:ascii="Arial" w:hAnsi="Arial" w:cs="Arial"/>
          <w:b/>
          <w:color w:val="0070C0"/>
        </w:rPr>
        <w:t>)</w:t>
      </w:r>
    </w:p>
    <w:p w14:paraId="52670B8B" w14:textId="0CA7EDEF" w:rsidR="00077C7C" w:rsidRPr="00077C7C" w:rsidRDefault="00077C7C" w:rsidP="00077C7C">
      <w:pPr>
        <w:spacing w:after="0" w:line="240" w:lineRule="auto"/>
        <w:rPr>
          <w:rFonts w:ascii="Arial" w:hAnsi="Arial" w:cs="Arial"/>
          <w:bCs/>
          <w:i/>
          <w:iCs/>
          <w:color w:val="2E74B5" w:themeColor="accent5" w:themeShade="BF"/>
        </w:rPr>
      </w:pPr>
      <w:r w:rsidRPr="00077C7C">
        <w:rPr>
          <w:rFonts w:ascii="Arial" w:hAnsi="Arial" w:cs="Arial"/>
          <w:bCs/>
          <w:i/>
          <w:iCs/>
          <w:color w:val="2E74B5" w:themeColor="accent5" w:themeShade="BF"/>
        </w:rPr>
        <w:t xml:space="preserve">To estimate the P. vivax parasitaemia </w:t>
      </w:r>
      <w:r w:rsidR="00BA4565" w:rsidRPr="00294745">
        <w:rPr>
          <w:rFonts w:ascii="Arial" w:hAnsi="Arial" w:cs="Arial"/>
          <w:i/>
          <w:iCs/>
          <w:color w:val="2E74B5" w:themeColor="accent5" w:themeShade="BF"/>
        </w:rPr>
        <w:t>threshold</w:t>
      </w:r>
      <w:r w:rsidR="00F4087D">
        <w:rPr>
          <w:rFonts w:ascii="Arial" w:hAnsi="Arial" w:cs="Arial"/>
          <w:i/>
          <w:iCs/>
          <w:color w:val="2E74B5" w:themeColor="accent5" w:themeShade="BF"/>
        </w:rPr>
        <w:t>s</w:t>
      </w:r>
      <w:r w:rsidR="00BA4565" w:rsidRPr="00294745">
        <w:rPr>
          <w:rFonts w:ascii="Arial" w:hAnsi="Arial" w:cs="Arial"/>
          <w:i/>
          <w:iCs/>
          <w:color w:val="2E74B5" w:themeColor="accent5" w:themeShade="BF"/>
        </w:rPr>
        <w:t xml:space="preserve"> which capture</w:t>
      </w:r>
      <w:r w:rsidR="00F4087D">
        <w:rPr>
          <w:rFonts w:ascii="Arial" w:hAnsi="Arial" w:cs="Arial"/>
          <w:i/>
          <w:iCs/>
          <w:color w:val="2E74B5" w:themeColor="accent5" w:themeShade="BF"/>
        </w:rPr>
        <w:t xml:space="preserve"> percentages</w:t>
      </w:r>
      <w:r w:rsidR="00BA4565" w:rsidRPr="00294745">
        <w:rPr>
          <w:rFonts w:ascii="Arial" w:hAnsi="Arial" w:cs="Arial"/>
          <w:i/>
          <w:iCs/>
          <w:color w:val="2E74B5" w:themeColor="accent5" w:themeShade="BF"/>
        </w:rPr>
        <w:t xml:space="preserve"> of patients </w:t>
      </w:r>
      <w:r w:rsidR="00BA4565" w:rsidRPr="00294745">
        <w:rPr>
          <w:rFonts w:ascii="Arial" w:hAnsi="Arial" w:cs="Arial"/>
          <w:bCs/>
          <w:i/>
          <w:iCs/>
          <w:color w:val="2E74B5" w:themeColor="accent5" w:themeShade="BF"/>
        </w:rPr>
        <w:t xml:space="preserve">with fever and/or a recent history of fever </w:t>
      </w:r>
      <w:r w:rsidR="00F4087D">
        <w:rPr>
          <w:rFonts w:ascii="Arial" w:hAnsi="Arial" w:cs="Arial"/>
          <w:bCs/>
          <w:i/>
          <w:iCs/>
          <w:color w:val="2E74B5" w:themeColor="accent5" w:themeShade="BF"/>
        </w:rPr>
        <w:t>at first recurrence</w:t>
      </w:r>
      <w:r w:rsidRPr="00077C7C">
        <w:rPr>
          <w:rFonts w:ascii="Arial" w:hAnsi="Arial" w:cs="Arial"/>
          <w:bCs/>
          <w:i/>
          <w:iCs/>
          <w:color w:val="2E74B5" w:themeColor="accent5" w:themeShade="BF"/>
        </w:rPr>
        <w:t xml:space="preserve">: overall, in different age groups, different endemic regions, and </w:t>
      </w:r>
      <w:r w:rsidR="00F4087D">
        <w:rPr>
          <w:rFonts w:ascii="Arial" w:hAnsi="Arial" w:cs="Arial"/>
          <w:bCs/>
          <w:i/>
          <w:iCs/>
          <w:color w:val="2E74B5" w:themeColor="accent5" w:themeShade="BF"/>
        </w:rPr>
        <w:t>compared to the</w:t>
      </w:r>
      <w:r w:rsidRPr="00077C7C">
        <w:rPr>
          <w:rFonts w:ascii="Arial" w:hAnsi="Arial" w:cs="Arial"/>
          <w:bCs/>
          <w:i/>
          <w:iCs/>
          <w:color w:val="2E74B5" w:themeColor="accent5" w:themeShade="BF"/>
        </w:rPr>
        <w:t xml:space="preserve"> second episode of recurrent parasitaemia.</w:t>
      </w:r>
    </w:p>
    <w:p w14:paraId="1058826F" w14:textId="2E90A2AF" w:rsidR="003C1995" w:rsidRDefault="003C1995" w:rsidP="003C1995">
      <w:pPr>
        <w:spacing w:after="0" w:line="240" w:lineRule="auto"/>
        <w:rPr>
          <w:rFonts w:ascii="Arial" w:hAnsi="Arial" w:cs="Arial"/>
          <w:b/>
          <w:color w:val="0070C0"/>
          <w:sz w:val="24"/>
          <w:szCs w:val="24"/>
        </w:rPr>
      </w:pPr>
    </w:p>
    <w:p w14:paraId="7E088742" w14:textId="27D2B52A" w:rsidR="00584EEB" w:rsidRDefault="00157EE5" w:rsidP="00157EE5">
      <w:pPr>
        <w:spacing w:after="0" w:line="240" w:lineRule="auto"/>
        <w:rPr>
          <w:rFonts w:ascii="Arial" w:hAnsi="Arial" w:cs="Arial"/>
          <w:bCs/>
        </w:rPr>
      </w:pPr>
      <w:r>
        <w:rPr>
          <w:rFonts w:ascii="Arial" w:hAnsi="Arial" w:cs="Arial"/>
          <w:bCs/>
        </w:rPr>
        <w:t xml:space="preserve">The distribution of </w:t>
      </w:r>
      <w:r>
        <w:rPr>
          <w:rFonts w:ascii="Arial" w:hAnsi="Arial" w:cs="Arial"/>
          <w:bCs/>
          <w:i/>
          <w:iCs/>
        </w:rPr>
        <w:t xml:space="preserve">P. vivax </w:t>
      </w:r>
      <w:r>
        <w:rPr>
          <w:rFonts w:ascii="Arial" w:hAnsi="Arial" w:cs="Arial"/>
          <w:bCs/>
        </w:rPr>
        <w:t>parasitaemia will be described for:</w:t>
      </w:r>
    </w:p>
    <w:p w14:paraId="3A0E5A7A" w14:textId="316A4D84" w:rsidR="00157EE5" w:rsidRDefault="00454464" w:rsidP="00607A87">
      <w:pPr>
        <w:pStyle w:val="ListParagraph"/>
        <w:numPr>
          <w:ilvl w:val="0"/>
          <w:numId w:val="18"/>
        </w:numPr>
        <w:spacing w:after="0" w:line="240" w:lineRule="auto"/>
        <w:rPr>
          <w:rFonts w:ascii="Arial" w:hAnsi="Arial" w:cs="Arial"/>
          <w:color w:val="000000"/>
        </w:rPr>
      </w:pPr>
      <w:r>
        <w:rPr>
          <w:rFonts w:ascii="Arial" w:hAnsi="Arial" w:cs="Arial"/>
          <w:color w:val="000000"/>
        </w:rPr>
        <w:t xml:space="preserve">The </w:t>
      </w:r>
      <w:r w:rsidR="00C86652">
        <w:rPr>
          <w:rFonts w:ascii="Arial" w:hAnsi="Arial" w:cs="Arial"/>
          <w:color w:val="000000"/>
        </w:rPr>
        <w:t xml:space="preserve">first </w:t>
      </w:r>
      <w:r>
        <w:rPr>
          <w:rFonts w:ascii="Arial" w:hAnsi="Arial" w:cs="Arial"/>
          <w:color w:val="000000"/>
        </w:rPr>
        <w:t>and</w:t>
      </w:r>
      <w:r w:rsidR="00C86652">
        <w:rPr>
          <w:rFonts w:ascii="Arial" w:hAnsi="Arial" w:cs="Arial"/>
          <w:color w:val="000000"/>
        </w:rPr>
        <w:t xml:space="preserve"> second episode</w:t>
      </w:r>
      <w:r>
        <w:rPr>
          <w:rFonts w:ascii="Arial" w:hAnsi="Arial" w:cs="Arial"/>
          <w:color w:val="000000"/>
        </w:rPr>
        <w:t>s</w:t>
      </w:r>
      <w:r w:rsidR="00584EEB">
        <w:rPr>
          <w:rFonts w:ascii="Arial" w:hAnsi="Arial" w:cs="Arial"/>
          <w:color w:val="000000"/>
        </w:rPr>
        <w:t xml:space="preserve"> of </w:t>
      </w:r>
      <w:r w:rsidR="00157EE5">
        <w:rPr>
          <w:rFonts w:ascii="Arial" w:hAnsi="Arial" w:cs="Arial"/>
          <w:color w:val="000000"/>
        </w:rPr>
        <w:t xml:space="preserve">recurrent </w:t>
      </w:r>
      <w:r w:rsidR="00584EEB">
        <w:rPr>
          <w:rFonts w:ascii="Arial" w:hAnsi="Arial" w:cs="Arial"/>
          <w:i/>
          <w:iCs/>
          <w:color w:val="000000"/>
        </w:rPr>
        <w:t xml:space="preserve">P. vivax </w:t>
      </w:r>
      <w:r w:rsidR="00584EEB">
        <w:rPr>
          <w:rFonts w:ascii="Arial" w:hAnsi="Arial" w:cs="Arial"/>
          <w:color w:val="000000"/>
        </w:rPr>
        <w:t>parasitaemia detected by microscopy</w:t>
      </w:r>
      <w:r>
        <w:rPr>
          <w:rFonts w:ascii="Arial" w:hAnsi="Arial" w:cs="Arial"/>
          <w:color w:val="000000"/>
        </w:rPr>
        <w:t>, regardless of fever status</w:t>
      </w:r>
    </w:p>
    <w:p w14:paraId="53B1C1E0" w14:textId="0D759894" w:rsidR="00157EE5" w:rsidRDefault="00454464" w:rsidP="00607A87">
      <w:pPr>
        <w:pStyle w:val="ListParagraph"/>
        <w:numPr>
          <w:ilvl w:val="0"/>
          <w:numId w:val="18"/>
        </w:numPr>
        <w:spacing w:after="0" w:line="240" w:lineRule="auto"/>
        <w:rPr>
          <w:rFonts w:ascii="Arial" w:hAnsi="Arial" w:cs="Arial"/>
          <w:color w:val="000000"/>
        </w:rPr>
      </w:pPr>
      <w:r>
        <w:rPr>
          <w:rFonts w:ascii="Arial" w:hAnsi="Arial" w:cs="Arial"/>
          <w:color w:val="000000"/>
        </w:rPr>
        <w:t>T</w:t>
      </w:r>
      <w:r w:rsidR="00C96209">
        <w:rPr>
          <w:rFonts w:ascii="Arial" w:hAnsi="Arial" w:cs="Arial"/>
          <w:color w:val="000000"/>
        </w:rPr>
        <w:t xml:space="preserve">he </w:t>
      </w:r>
      <w:r w:rsidR="00C86652">
        <w:rPr>
          <w:rFonts w:ascii="Arial" w:hAnsi="Arial" w:cs="Arial"/>
          <w:color w:val="000000"/>
        </w:rPr>
        <w:t xml:space="preserve">first </w:t>
      </w:r>
      <w:r>
        <w:rPr>
          <w:rFonts w:ascii="Arial" w:hAnsi="Arial" w:cs="Arial"/>
          <w:color w:val="000000"/>
        </w:rPr>
        <w:t xml:space="preserve">and second </w:t>
      </w:r>
      <w:r w:rsidR="00C86652">
        <w:rPr>
          <w:rFonts w:ascii="Arial" w:hAnsi="Arial" w:cs="Arial"/>
          <w:color w:val="000000"/>
        </w:rPr>
        <w:t>recurrent episode</w:t>
      </w:r>
      <w:r>
        <w:rPr>
          <w:rFonts w:ascii="Arial" w:hAnsi="Arial" w:cs="Arial"/>
          <w:color w:val="000000"/>
        </w:rPr>
        <w:t>s</w:t>
      </w:r>
      <w:r w:rsidR="00C96209">
        <w:rPr>
          <w:rFonts w:ascii="Arial" w:hAnsi="Arial" w:cs="Arial"/>
          <w:color w:val="000000"/>
        </w:rPr>
        <w:t xml:space="preserve"> </w:t>
      </w:r>
      <w:r w:rsidR="00157EE5">
        <w:rPr>
          <w:rFonts w:ascii="Arial" w:hAnsi="Arial" w:cs="Arial"/>
          <w:color w:val="000000"/>
        </w:rPr>
        <w:t>where the participant had a fever and/or a recent history of fever</w:t>
      </w:r>
    </w:p>
    <w:p w14:paraId="65679A1F" w14:textId="5AE2DA03" w:rsidR="00157EE5" w:rsidRDefault="00454464" w:rsidP="00607A87">
      <w:pPr>
        <w:pStyle w:val="ListParagraph"/>
        <w:numPr>
          <w:ilvl w:val="0"/>
          <w:numId w:val="18"/>
        </w:numPr>
        <w:spacing w:after="0" w:line="240" w:lineRule="auto"/>
        <w:rPr>
          <w:rFonts w:ascii="Arial" w:hAnsi="Arial" w:cs="Arial"/>
          <w:color w:val="000000"/>
        </w:rPr>
      </w:pPr>
      <w:r>
        <w:rPr>
          <w:rFonts w:ascii="Arial" w:hAnsi="Arial" w:cs="Arial"/>
          <w:color w:val="000000"/>
        </w:rPr>
        <w:t xml:space="preserve">The </w:t>
      </w:r>
      <w:r w:rsidR="00C86652">
        <w:rPr>
          <w:rFonts w:ascii="Arial" w:hAnsi="Arial" w:cs="Arial"/>
          <w:color w:val="000000"/>
        </w:rPr>
        <w:t xml:space="preserve">first </w:t>
      </w:r>
      <w:r>
        <w:rPr>
          <w:rFonts w:ascii="Arial" w:hAnsi="Arial" w:cs="Arial"/>
          <w:color w:val="000000"/>
        </w:rPr>
        <w:t xml:space="preserve">and second </w:t>
      </w:r>
      <w:r w:rsidR="00C86652">
        <w:rPr>
          <w:rFonts w:ascii="Arial" w:hAnsi="Arial" w:cs="Arial"/>
          <w:color w:val="000000"/>
        </w:rPr>
        <w:t>recurrent episode</w:t>
      </w:r>
      <w:r>
        <w:rPr>
          <w:rFonts w:ascii="Arial" w:hAnsi="Arial" w:cs="Arial"/>
          <w:color w:val="000000"/>
        </w:rPr>
        <w:t>s</w:t>
      </w:r>
      <w:r w:rsidR="00C96209">
        <w:rPr>
          <w:rFonts w:ascii="Arial" w:hAnsi="Arial" w:cs="Arial"/>
          <w:color w:val="000000"/>
        </w:rPr>
        <w:t xml:space="preserve"> </w:t>
      </w:r>
      <w:r w:rsidR="00157EE5">
        <w:rPr>
          <w:rFonts w:ascii="Arial" w:hAnsi="Arial" w:cs="Arial"/>
          <w:color w:val="000000"/>
        </w:rPr>
        <w:t>where the participant did not have a fever or a recent history of fever</w:t>
      </w:r>
    </w:p>
    <w:p w14:paraId="516E6B52" w14:textId="77777777" w:rsidR="00584EEB" w:rsidRDefault="00584EEB" w:rsidP="00584EEB">
      <w:pPr>
        <w:pStyle w:val="ListParagraph"/>
        <w:spacing w:after="0" w:line="240" w:lineRule="auto"/>
        <w:ind w:left="1080"/>
        <w:rPr>
          <w:rFonts w:ascii="Arial" w:hAnsi="Arial" w:cs="Arial"/>
          <w:color w:val="000000"/>
        </w:rPr>
      </w:pPr>
    </w:p>
    <w:p w14:paraId="529078BE" w14:textId="26C5A7FA" w:rsidR="00157EE5" w:rsidRDefault="00157EE5" w:rsidP="00157EE5">
      <w:pPr>
        <w:spacing w:after="0" w:line="240" w:lineRule="auto"/>
        <w:rPr>
          <w:rFonts w:ascii="Arial" w:hAnsi="Arial" w:cs="Arial"/>
          <w:color w:val="000000"/>
        </w:rPr>
      </w:pPr>
      <w:r w:rsidRPr="005441BE">
        <w:rPr>
          <w:rFonts w:ascii="Arial" w:hAnsi="Arial" w:cs="Arial"/>
          <w:color w:val="000000"/>
        </w:rPr>
        <w:t>using the mean and standard deviation if the data are normally distributed, geometric mean and 9</w:t>
      </w:r>
      <w:r w:rsidR="008C649C">
        <w:rPr>
          <w:rFonts w:ascii="Arial" w:hAnsi="Arial" w:cs="Arial"/>
          <w:color w:val="000000"/>
        </w:rPr>
        <w:t>5</w:t>
      </w:r>
      <w:r w:rsidRPr="005441BE">
        <w:rPr>
          <w:rFonts w:ascii="Arial" w:hAnsi="Arial" w:cs="Arial"/>
          <w:color w:val="000000"/>
        </w:rPr>
        <w:t>% reference range if the data are normally distributed following a log transformation, or the median and interquartile range if the data are non-normally distributed.</w:t>
      </w:r>
    </w:p>
    <w:p w14:paraId="3BB02EC1" w14:textId="24630541" w:rsidR="0009581B" w:rsidRDefault="0009581B" w:rsidP="00157EE5">
      <w:pPr>
        <w:spacing w:after="0" w:line="240" w:lineRule="auto"/>
        <w:rPr>
          <w:rFonts w:ascii="Arial" w:hAnsi="Arial" w:cs="Arial"/>
          <w:color w:val="000000"/>
        </w:rPr>
      </w:pPr>
    </w:p>
    <w:p w14:paraId="72113EE5" w14:textId="4BFD3BD0" w:rsidR="00A306EB" w:rsidRPr="004F6E61" w:rsidRDefault="00A306EB" w:rsidP="00A306EB">
      <w:pPr>
        <w:spacing w:after="0" w:line="240" w:lineRule="auto"/>
        <w:rPr>
          <w:rFonts w:ascii="Arial" w:hAnsi="Arial" w:cs="Arial"/>
          <w:color w:val="000000"/>
        </w:rPr>
      </w:pPr>
      <w:r w:rsidRPr="004F6E61">
        <w:rPr>
          <w:rFonts w:ascii="Arial" w:hAnsi="Arial" w:cs="Arial"/>
          <w:color w:val="000000"/>
        </w:rPr>
        <w:t xml:space="preserve">The </w:t>
      </w:r>
      <w:r w:rsidR="00C47833">
        <w:rPr>
          <w:rFonts w:ascii="Arial" w:hAnsi="Arial" w:cs="Arial"/>
          <w:color w:val="000000"/>
        </w:rPr>
        <w:t>10</w:t>
      </w:r>
      <w:r w:rsidRPr="004F6E61">
        <w:rPr>
          <w:rFonts w:ascii="Arial" w:hAnsi="Arial" w:cs="Arial"/>
          <w:color w:val="000000"/>
          <w:vertAlign w:val="superscript"/>
        </w:rPr>
        <w:t>th</w:t>
      </w:r>
      <w:r w:rsidRPr="004F6E61">
        <w:rPr>
          <w:rFonts w:ascii="Arial" w:hAnsi="Arial" w:cs="Arial"/>
          <w:color w:val="000000"/>
        </w:rPr>
        <w:t xml:space="preserve"> centile of </w:t>
      </w:r>
      <w:r w:rsidRPr="004F6E61">
        <w:rPr>
          <w:rFonts w:ascii="Arial" w:hAnsi="Arial" w:cs="Arial"/>
          <w:i/>
          <w:iCs/>
          <w:color w:val="000000"/>
        </w:rPr>
        <w:t>P. vivax</w:t>
      </w:r>
      <w:r w:rsidRPr="004F6E61">
        <w:rPr>
          <w:rFonts w:ascii="Arial" w:hAnsi="Arial" w:cs="Arial"/>
          <w:color w:val="000000"/>
        </w:rPr>
        <w:t xml:space="preserve"> parasitaemia will be determined for all participants with a fever and/or a recent history of fever at</w:t>
      </w:r>
      <w:r>
        <w:rPr>
          <w:rFonts w:ascii="Arial" w:hAnsi="Arial" w:cs="Arial"/>
          <w:color w:val="000000"/>
        </w:rPr>
        <w:t xml:space="preserve"> first recurrence</w:t>
      </w:r>
      <w:r w:rsidRPr="004F6E61">
        <w:rPr>
          <w:rFonts w:ascii="Arial" w:hAnsi="Arial" w:cs="Arial"/>
          <w:color w:val="000000"/>
        </w:rPr>
        <w:t xml:space="preserve">. In addition, subgroup analysis will be undertaken for each age group and </w:t>
      </w:r>
      <w:r w:rsidR="00A25A4F">
        <w:rPr>
          <w:rFonts w:ascii="Arial" w:hAnsi="Arial" w:cs="Arial"/>
          <w:color w:val="000000"/>
        </w:rPr>
        <w:t>relapse periodicity</w:t>
      </w:r>
      <w:r w:rsidRPr="004F6E61">
        <w:rPr>
          <w:rFonts w:ascii="Arial" w:hAnsi="Arial" w:cs="Arial"/>
          <w:color w:val="000000"/>
        </w:rPr>
        <w:t xml:space="preserve"> setting</w:t>
      </w:r>
      <w:r w:rsidR="00467303">
        <w:rPr>
          <w:rFonts w:ascii="Arial" w:hAnsi="Arial" w:cs="Arial"/>
          <w:color w:val="000000"/>
        </w:rPr>
        <w:t>. Comparisons will also be made with the second recurrence for patients who experienced at least two recurrent episodes.</w:t>
      </w:r>
    </w:p>
    <w:p w14:paraId="1AA6CE68" w14:textId="77777777" w:rsidR="00A306EB" w:rsidRPr="004F6E61" w:rsidRDefault="00A306EB" w:rsidP="00A306EB">
      <w:pPr>
        <w:spacing w:after="0" w:line="240" w:lineRule="auto"/>
        <w:rPr>
          <w:rFonts w:ascii="Arial" w:hAnsi="Arial" w:cs="Arial"/>
          <w:color w:val="000000"/>
        </w:rPr>
      </w:pPr>
    </w:p>
    <w:p w14:paraId="0C491EF6" w14:textId="3D112A7D" w:rsidR="00A306EB" w:rsidRPr="004F6E61" w:rsidRDefault="00A306EB" w:rsidP="00A306EB">
      <w:pPr>
        <w:spacing w:after="0" w:line="240" w:lineRule="auto"/>
        <w:rPr>
          <w:rFonts w:ascii="Arial" w:hAnsi="Arial" w:cs="Arial"/>
          <w:color w:val="000000"/>
        </w:rPr>
      </w:pPr>
      <w:r w:rsidRPr="004F6E61">
        <w:rPr>
          <w:rFonts w:ascii="Arial" w:hAnsi="Arial" w:cs="Arial"/>
          <w:color w:val="000000"/>
        </w:rPr>
        <w:t xml:space="preserve">These values will correspond to the </w:t>
      </w:r>
      <w:r w:rsidRPr="004F6E61">
        <w:rPr>
          <w:rFonts w:ascii="Arial" w:hAnsi="Arial" w:cs="Arial"/>
          <w:i/>
          <w:iCs/>
          <w:color w:val="000000"/>
        </w:rPr>
        <w:t>P. vivax</w:t>
      </w:r>
      <w:r w:rsidRPr="004F6E61">
        <w:rPr>
          <w:rFonts w:ascii="Arial" w:hAnsi="Arial" w:cs="Arial"/>
          <w:color w:val="000000"/>
        </w:rPr>
        <w:t xml:space="preserve"> parasite density above which 9</w:t>
      </w:r>
      <w:r w:rsidR="00C47833">
        <w:rPr>
          <w:rFonts w:ascii="Arial" w:hAnsi="Arial" w:cs="Arial"/>
          <w:color w:val="000000"/>
        </w:rPr>
        <w:t>0</w:t>
      </w:r>
      <w:r w:rsidRPr="004F6E61">
        <w:rPr>
          <w:rFonts w:ascii="Arial" w:hAnsi="Arial" w:cs="Arial"/>
          <w:color w:val="000000"/>
        </w:rPr>
        <w:t>% of the specified population are captured. The 1</w:t>
      </w:r>
      <w:r w:rsidRPr="004F6E61">
        <w:rPr>
          <w:rFonts w:ascii="Arial" w:hAnsi="Arial" w:cs="Arial"/>
          <w:color w:val="000000"/>
          <w:vertAlign w:val="superscript"/>
        </w:rPr>
        <w:t>st</w:t>
      </w:r>
      <w:r w:rsidRPr="004F6E61">
        <w:rPr>
          <w:rFonts w:ascii="Arial" w:hAnsi="Arial" w:cs="Arial"/>
          <w:color w:val="000000"/>
        </w:rPr>
        <w:t xml:space="preserve">, </w:t>
      </w:r>
      <w:r w:rsidR="00C47833">
        <w:rPr>
          <w:rFonts w:ascii="Arial" w:hAnsi="Arial" w:cs="Arial"/>
          <w:color w:val="000000"/>
        </w:rPr>
        <w:t>5</w:t>
      </w:r>
      <w:r w:rsidRPr="004F6E61">
        <w:rPr>
          <w:rFonts w:ascii="Arial" w:hAnsi="Arial" w:cs="Arial"/>
          <w:color w:val="000000"/>
          <w:vertAlign w:val="superscript"/>
        </w:rPr>
        <w:t>th</w:t>
      </w:r>
      <w:r w:rsidRPr="004F6E61">
        <w:rPr>
          <w:rFonts w:ascii="Arial" w:hAnsi="Arial" w:cs="Arial"/>
          <w:color w:val="000000"/>
        </w:rPr>
        <w:t>, 25</w:t>
      </w:r>
      <w:r w:rsidRPr="004F6E61">
        <w:rPr>
          <w:rFonts w:ascii="Arial" w:hAnsi="Arial" w:cs="Arial"/>
          <w:color w:val="000000"/>
          <w:vertAlign w:val="superscript"/>
        </w:rPr>
        <w:t>th</w:t>
      </w:r>
      <w:r w:rsidRPr="004F6E61">
        <w:rPr>
          <w:rFonts w:ascii="Arial" w:hAnsi="Arial" w:cs="Arial"/>
          <w:color w:val="000000"/>
        </w:rPr>
        <w:t>, and 50</w:t>
      </w:r>
      <w:r w:rsidRPr="004F6E61">
        <w:rPr>
          <w:rFonts w:ascii="Arial" w:hAnsi="Arial" w:cs="Arial"/>
          <w:color w:val="000000"/>
          <w:vertAlign w:val="superscript"/>
        </w:rPr>
        <w:t>th</w:t>
      </w:r>
      <w:r w:rsidRPr="004F6E61">
        <w:rPr>
          <w:rFonts w:ascii="Arial" w:hAnsi="Arial" w:cs="Arial"/>
          <w:color w:val="000000"/>
        </w:rPr>
        <w:t xml:space="preserve"> centiles will also be determined to demonstrate trends in the groups listed above.</w:t>
      </w:r>
      <w:r w:rsidR="00467303">
        <w:rPr>
          <w:rFonts w:ascii="Arial" w:hAnsi="Arial" w:cs="Arial"/>
          <w:color w:val="000000"/>
        </w:rPr>
        <w:t xml:space="preserve"> Exploratory analyses will be conducted to investigate how second recurrence parasitaemia distributions vary </w:t>
      </w:r>
      <w:r w:rsidR="00997F64">
        <w:rPr>
          <w:rFonts w:ascii="Arial" w:hAnsi="Arial" w:cs="Arial"/>
          <w:color w:val="000000"/>
        </w:rPr>
        <w:t>depending on</w:t>
      </w:r>
      <w:r w:rsidR="00467303">
        <w:rPr>
          <w:rFonts w:ascii="Arial" w:hAnsi="Arial" w:cs="Arial"/>
          <w:color w:val="000000"/>
        </w:rPr>
        <w:t xml:space="preserve"> </w:t>
      </w:r>
      <w:r w:rsidR="00997F64">
        <w:rPr>
          <w:rFonts w:ascii="Arial" w:hAnsi="Arial" w:cs="Arial"/>
          <w:color w:val="000000"/>
        </w:rPr>
        <w:t xml:space="preserve">the </w:t>
      </w:r>
      <w:r w:rsidR="00467303">
        <w:rPr>
          <w:rFonts w:ascii="Arial" w:hAnsi="Arial" w:cs="Arial"/>
          <w:color w:val="000000"/>
        </w:rPr>
        <w:t>time after first recurrence.</w:t>
      </w:r>
    </w:p>
    <w:p w14:paraId="05CD4E3B" w14:textId="303EE914" w:rsidR="00A306EB" w:rsidRDefault="00A306EB" w:rsidP="00157EE5">
      <w:pPr>
        <w:spacing w:after="0" w:line="240" w:lineRule="auto"/>
        <w:rPr>
          <w:rFonts w:ascii="Arial" w:hAnsi="Arial" w:cs="Arial"/>
          <w:color w:val="000000"/>
        </w:rPr>
      </w:pPr>
    </w:p>
    <w:p w14:paraId="43FD68ED" w14:textId="14F8E624" w:rsidR="002172F7" w:rsidRDefault="002172F7" w:rsidP="002172F7">
      <w:pPr>
        <w:spacing w:after="0" w:line="240" w:lineRule="auto"/>
        <w:rPr>
          <w:rFonts w:ascii="Arial" w:hAnsi="Arial" w:cs="Arial"/>
          <w:color w:val="000000"/>
        </w:rPr>
      </w:pPr>
      <w:r>
        <w:rPr>
          <w:rFonts w:ascii="Arial" w:hAnsi="Arial" w:cs="Arial"/>
          <w:color w:val="000000"/>
        </w:rPr>
        <w:br w:type="page"/>
      </w:r>
    </w:p>
    <w:p w14:paraId="5EB34EDA" w14:textId="167C9218" w:rsidR="00157EE5" w:rsidRPr="002172F7" w:rsidRDefault="00157EE5" w:rsidP="002172F7">
      <w:pPr>
        <w:spacing w:after="0" w:line="240" w:lineRule="auto"/>
        <w:rPr>
          <w:rFonts w:ascii="Arial" w:hAnsi="Arial" w:cs="Arial"/>
          <w:color w:val="000000"/>
        </w:rPr>
      </w:pPr>
      <w:r w:rsidRPr="0007023F">
        <w:rPr>
          <w:rFonts w:ascii="Arial" w:hAnsi="Arial" w:cs="Arial"/>
          <w:b/>
          <w:color w:val="0070C0"/>
          <w:sz w:val="24"/>
          <w:szCs w:val="24"/>
        </w:rPr>
        <w:lastRenderedPageBreak/>
        <w:t>6.3.</w:t>
      </w:r>
      <w:r w:rsidR="004A694C">
        <w:rPr>
          <w:rFonts w:ascii="Arial" w:hAnsi="Arial" w:cs="Arial"/>
          <w:b/>
          <w:color w:val="0070C0"/>
          <w:sz w:val="24"/>
          <w:szCs w:val="24"/>
        </w:rPr>
        <w:t>4</w:t>
      </w:r>
      <w:r w:rsidRPr="0007023F">
        <w:rPr>
          <w:rFonts w:ascii="Arial" w:hAnsi="Arial" w:cs="Arial"/>
          <w:b/>
          <w:color w:val="0070C0"/>
          <w:sz w:val="24"/>
          <w:szCs w:val="24"/>
        </w:rPr>
        <w:t xml:space="preserve">   </w:t>
      </w:r>
      <w:r w:rsidRPr="004A694C">
        <w:rPr>
          <w:rFonts w:ascii="Arial" w:hAnsi="Arial" w:cs="Arial"/>
          <w:b/>
          <w:color w:val="2E74B5" w:themeColor="accent5" w:themeShade="BF"/>
          <w:sz w:val="24"/>
          <w:szCs w:val="24"/>
        </w:rPr>
        <w:t xml:space="preserve">Objective </w:t>
      </w:r>
      <w:r w:rsidR="004A694C" w:rsidRPr="004A694C">
        <w:rPr>
          <w:rFonts w:ascii="Arial" w:hAnsi="Arial" w:cs="Arial"/>
          <w:b/>
          <w:color w:val="2E74B5" w:themeColor="accent5" w:themeShade="BF"/>
          <w:sz w:val="24"/>
          <w:szCs w:val="24"/>
        </w:rPr>
        <w:t>2</w:t>
      </w:r>
      <w:r w:rsidRPr="004A694C">
        <w:rPr>
          <w:rFonts w:ascii="Arial" w:hAnsi="Arial" w:cs="Arial"/>
          <w:b/>
          <w:color w:val="2E74B5" w:themeColor="accent5" w:themeShade="BF"/>
          <w:sz w:val="24"/>
          <w:szCs w:val="24"/>
        </w:rPr>
        <w:t xml:space="preserve"> – </w:t>
      </w:r>
      <w:r w:rsidR="004A694C" w:rsidRPr="004A694C">
        <w:rPr>
          <w:rFonts w:ascii="Arial" w:hAnsi="Arial" w:cs="Arial"/>
          <w:b/>
          <w:color w:val="2E74B5" w:themeColor="accent5" w:themeShade="BF"/>
          <w:sz w:val="24"/>
          <w:szCs w:val="24"/>
        </w:rPr>
        <w:t xml:space="preserve">To inform </w:t>
      </w:r>
      <w:r w:rsidR="004A694C">
        <w:rPr>
          <w:rFonts w:ascii="Arial" w:hAnsi="Arial" w:cs="Arial"/>
          <w:b/>
          <w:color w:val="2E74B5" w:themeColor="accent5" w:themeShade="BF"/>
          <w:sz w:val="24"/>
          <w:szCs w:val="24"/>
        </w:rPr>
        <w:t>C</w:t>
      </w:r>
      <w:r w:rsidR="004A694C" w:rsidRPr="004A694C">
        <w:rPr>
          <w:rFonts w:ascii="Arial" w:hAnsi="Arial" w:cs="Arial"/>
          <w:b/>
          <w:color w:val="2E74B5" w:themeColor="accent5" w:themeShade="BF"/>
          <w:sz w:val="24"/>
          <w:szCs w:val="24"/>
        </w:rPr>
        <w:t xml:space="preserve">linical and </w:t>
      </w:r>
      <w:r w:rsidR="004A694C">
        <w:rPr>
          <w:rFonts w:ascii="Arial" w:hAnsi="Arial" w:cs="Arial"/>
          <w:b/>
          <w:color w:val="2E74B5" w:themeColor="accent5" w:themeShade="BF"/>
          <w:sz w:val="24"/>
          <w:szCs w:val="24"/>
        </w:rPr>
        <w:t>E</w:t>
      </w:r>
      <w:r w:rsidR="004A694C" w:rsidRPr="004A694C">
        <w:rPr>
          <w:rFonts w:ascii="Arial" w:hAnsi="Arial" w:cs="Arial"/>
          <w:b/>
          <w:color w:val="2E74B5" w:themeColor="accent5" w:themeShade="BF"/>
          <w:sz w:val="24"/>
          <w:szCs w:val="24"/>
        </w:rPr>
        <w:t xml:space="preserve">pidemiological understanding of the </w:t>
      </w:r>
      <w:r w:rsidR="004A694C">
        <w:rPr>
          <w:rFonts w:ascii="Arial" w:hAnsi="Arial" w:cs="Arial"/>
          <w:b/>
          <w:color w:val="2E74B5" w:themeColor="accent5" w:themeShade="BF"/>
          <w:sz w:val="24"/>
          <w:szCs w:val="24"/>
        </w:rPr>
        <w:t>R</w:t>
      </w:r>
      <w:r w:rsidR="004A694C" w:rsidRPr="004A694C">
        <w:rPr>
          <w:rFonts w:ascii="Arial" w:hAnsi="Arial" w:cs="Arial"/>
          <w:b/>
          <w:color w:val="2E74B5" w:themeColor="accent5" w:themeShade="BF"/>
          <w:sz w:val="24"/>
          <w:szCs w:val="24"/>
        </w:rPr>
        <w:t xml:space="preserve">elationship between </w:t>
      </w:r>
      <w:r w:rsidR="004A694C">
        <w:rPr>
          <w:rFonts w:ascii="Arial" w:hAnsi="Arial" w:cs="Arial"/>
          <w:b/>
          <w:color w:val="2E74B5" w:themeColor="accent5" w:themeShade="BF"/>
          <w:sz w:val="24"/>
          <w:szCs w:val="24"/>
        </w:rPr>
        <w:t>F</w:t>
      </w:r>
      <w:r w:rsidR="004A694C" w:rsidRPr="004A694C">
        <w:rPr>
          <w:rFonts w:ascii="Arial" w:hAnsi="Arial" w:cs="Arial"/>
          <w:b/>
          <w:color w:val="2E74B5" w:themeColor="accent5" w:themeShade="BF"/>
          <w:sz w:val="24"/>
          <w:szCs w:val="24"/>
        </w:rPr>
        <w:t xml:space="preserve">ever and </w:t>
      </w:r>
      <w:r w:rsidR="004A694C" w:rsidRPr="004A694C">
        <w:rPr>
          <w:rFonts w:ascii="Arial" w:hAnsi="Arial" w:cs="Arial"/>
          <w:b/>
          <w:i/>
          <w:iCs/>
          <w:color w:val="2E74B5" w:themeColor="accent5" w:themeShade="BF"/>
          <w:sz w:val="24"/>
          <w:szCs w:val="24"/>
        </w:rPr>
        <w:t xml:space="preserve">P. vivax </w:t>
      </w:r>
      <w:r w:rsidR="004A694C">
        <w:rPr>
          <w:rFonts w:ascii="Arial" w:hAnsi="Arial" w:cs="Arial"/>
          <w:b/>
          <w:color w:val="2E74B5" w:themeColor="accent5" w:themeShade="BF"/>
          <w:sz w:val="24"/>
          <w:szCs w:val="24"/>
        </w:rPr>
        <w:t>P</w:t>
      </w:r>
      <w:r w:rsidR="004A694C" w:rsidRPr="004A694C">
        <w:rPr>
          <w:rFonts w:ascii="Arial" w:hAnsi="Arial" w:cs="Arial"/>
          <w:b/>
          <w:color w:val="2E74B5" w:themeColor="accent5" w:themeShade="BF"/>
          <w:sz w:val="24"/>
          <w:szCs w:val="24"/>
        </w:rPr>
        <w:t>arasitaemia</w:t>
      </w:r>
    </w:p>
    <w:p w14:paraId="6E850BBE" w14:textId="77777777" w:rsidR="005801E3" w:rsidRDefault="005801E3" w:rsidP="00157EE5">
      <w:pPr>
        <w:spacing w:after="0" w:line="240" w:lineRule="auto"/>
        <w:rPr>
          <w:rFonts w:ascii="Arial" w:hAnsi="Arial" w:cs="Arial"/>
        </w:rPr>
      </w:pPr>
    </w:p>
    <w:p w14:paraId="484EA792" w14:textId="7BA1651F" w:rsidR="00F83D8B" w:rsidRDefault="00F83D8B" w:rsidP="00F83D8B">
      <w:pPr>
        <w:spacing w:after="0" w:line="240" w:lineRule="auto"/>
        <w:rPr>
          <w:rFonts w:ascii="Arial" w:hAnsi="Arial" w:cs="Arial"/>
          <w:b/>
          <w:color w:val="0070C0"/>
        </w:rPr>
      </w:pPr>
      <w:r w:rsidRPr="006F032D">
        <w:rPr>
          <w:rFonts w:ascii="Arial" w:hAnsi="Arial" w:cs="Arial"/>
          <w:b/>
          <w:color w:val="0070C0"/>
        </w:rPr>
        <w:t xml:space="preserve">Objective </w:t>
      </w:r>
      <w:r>
        <w:rPr>
          <w:rFonts w:ascii="Arial" w:hAnsi="Arial" w:cs="Arial"/>
          <w:b/>
          <w:color w:val="0070C0"/>
        </w:rPr>
        <w:t>2a</w:t>
      </w:r>
      <w:r w:rsidRPr="006F032D">
        <w:rPr>
          <w:rFonts w:ascii="Arial" w:hAnsi="Arial" w:cs="Arial"/>
          <w:b/>
          <w:color w:val="0070C0"/>
        </w:rPr>
        <w:t>)</w:t>
      </w:r>
    </w:p>
    <w:p w14:paraId="0D0083D6" w14:textId="71B8D509" w:rsidR="00F83D8B" w:rsidRPr="00F83D8B" w:rsidRDefault="00F83D8B" w:rsidP="00157EE5">
      <w:pPr>
        <w:spacing w:after="0" w:line="240" w:lineRule="auto"/>
        <w:rPr>
          <w:rFonts w:ascii="Arial" w:hAnsi="Arial" w:cs="Arial"/>
          <w:bCs/>
          <w:i/>
          <w:iCs/>
          <w:color w:val="2E74B5" w:themeColor="accent5" w:themeShade="BF"/>
        </w:rPr>
      </w:pPr>
      <w:r w:rsidRPr="00F83D8B">
        <w:rPr>
          <w:rFonts w:ascii="Arial" w:hAnsi="Arial" w:cs="Arial"/>
          <w:bCs/>
          <w:i/>
          <w:iCs/>
          <w:color w:val="2E74B5" w:themeColor="accent5" w:themeShade="BF"/>
        </w:rPr>
        <w:t>To estimate the pyrogenic density of P. vivax</w:t>
      </w:r>
      <w:r w:rsidR="007A679C">
        <w:rPr>
          <w:rFonts w:ascii="Arial" w:hAnsi="Arial" w:cs="Arial"/>
          <w:bCs/>
          <w:i/>
          <w:iCs/>
          <w:color w:val="2E74B5" w:themeColor="accent5" w:themeShade="BF"/>
        </w:rPr>
        <w:t xml:space="preserve"> at the first recurrent infection</w:t>
      </w:r>
      <w:r w:rsidRPr="00F83D8B">
        <w:rPr>
          <w:rFonts w:ascii="Arial" w:hAnsi="Arial" w:cs="Arial"/>
          <w:bCs/>
          <w:i/>
          <w:iCs/>
          <w:color w:val="2E74B5" w:themeColor="accent5" w:themeShade="BF"/>
        </w:rPr>
        <w:t xml:space="preserve">, overall, in different age groups, different endemic regions, and </w:t>
      </w:r>
      <w:r w:rsidR="007A679C">
        <w:rPr>
          <w:rFonts w:ascii="Arial" w:hAnsi="Arial" w:cs="Arial"/>
          <w:bCs/>
          <w:i/>
          <w:iCs/>
          <w:color w:val="2E74B5" w:themeColor="accent5" w:themeShade="BF"/>
        </w:rPr>
        <w:t xml:space="preserve">compared to the </w:t>
      </w:r>
      <w:r w:rsidRPr="00F83D8B">
        <w:rPr>
          <w:rFonts w:ascii="Arial" w:hAnsi="Arial" w:cs="Arial"/>
          <w:bCs/>
          <w:i/>
          <w:iCs/>
          <w:color w:val="2E74B5" w:themeColor="accent5" w:themeShade="BF"/>
        </w:rPr>
        <w:t>second episode of recurrent parasitaemia.</w:t>
      </w:r>
    </w:p>
    <w:p w14:paraId="7391F80E" w14:textId="77777777" w:rsidR="00F83D8B" w:rsidRDefault="00F83D8B" w:rsidP="00157EE5">
      <w:pPr>
        <w:spacing w:after="0" w:line="240" w:lineRule="auto"/>
        <w:rPr>
          <w:rFonts w:ascii="Arial" w:hAnsi="Arial" w:cs="Arial"/>
        </w:rPr>
      </w:pPr>
    </w:p>
    <w:p w14:paraId="1A1F0586" w14:textId="072B476D" w:rsidR="00157EE5" w:rsidRDefault="00157EE5" w:rsidP="00157EE5">
      <w:pPr>
        <w:spacing w:after="0" w:line="240" w:lineRule="auto"/>
        <w:rPr>
          <w:rFonts w:ascii="Arial" w:hAnsi="Arial" w:cs="Arial"/>
        </w:rPr>
      </w:pPr>
      <w:r>
        <w:rPr>
          <w:rFonts w:ascii="Arial" w:hAnsi="Arial" w:cs="Arial"/>
        </w:rPr>
        <w:t xml:space="preserve">Univariable logistic regression analysis will be performed to define the relationship between the presence or absence of fever and/or a recent history of fever (dependent variable) and </w:t>
      </w:r>
      <w:r>
        <w:rPr>
          <w:rFonts w:ascii="Arial" w:hAnsi="Arial" w:cs="Arial"/>
          <w:i/>
        </w:rPr>
        <w:t xml:space="preserve">P. vivax </w:t>
      </w:r>
      <w:r>
        <w:rPr>
          <w:rFonts w:ascii="Arial" w:hAnsi="Arial" w:cs="Arial"/>
        </w:rPr>
        <w:t xml:space="preserve">parasitaemia at </w:t>
      </w:r>
      <w:r w:rsidR="004E7021">
        <w:rPr>
          <w:rFonts w:ascii="Arial" w:hAnsi="Arial" w:cs="Arial"/>
        </w:rPr>
        <w:t xml:space="preserve">first </w:t>
      </w:r>
      <w:r>
        <w:rPr>
          <w:rFonts w:ascii="Arial" w:hAnsi="Arial" w:cs="Arial"/>
        </w:rPr>
        <w:t>recurrence (independent variable). A receiver operator curve (ROC) will be constructed and Youden’s index calculated to identify the parasite density value with optimal sensitivity and specificity for defining the pyrogenic threshold.</w:t>
      </w:r>
    </w:p>
    <w:p w14:paraId="388D53AD" w14:textId="77777777" w:rsidR="00593C0A" w:rsidRDefault="00593C0A" w:rsidP="00157EE5">
      <w:pPr>
        <w:spacing w:after="0" w:line="240" w:lineRule="auto"/>
        <w:rPr>
          <w:rFonts w:ascii="Arial" w:hAnsi="Arial" w:cs="Arial"/>
        </w:rPr>
      </w:pPr>
    </w:p>
    <w:p w14:paraId="3323AA64" w14:textId="628C39AC" w:rsidR="00157EE5" w:rsidRDefault="00157EE5" w:rsidP="00157EE5">
      <w:pPr>
        <w:spacing w:after="0" w:line="240" w:lineRule="auto"/>
        <w:rPr>
          <w:rFonts w:ascii="Arial" w:hAnsi="Arial" w:cs="Arial"/>
        </w:rPr>
      </w:pPr>
      <w:r>
        <w:rPr>
          <w:rFonts w:ascii="Arial" w:hAnsi="Arial" w:cs="Arial"/>
        </w:rPr>
        <w:t>If data are only available for one of “fever” or “recent history of fever”, and the observation is negative, i.e. no measured fever or no recent history of fever, the following assumptions will be made:</w:t>
      </w:r>
    </w:p>
    <w:p w14:paraId="7A4C8774" w14:textId="1A5EB17B" w:rsidR="00157EE5" w:rsidRDefault="00157EE5" w:rsidP="00607A87">
      <w:pPr>
        <w:pStyle w:val="ListParagraph"/>
        <w:numPr>
          <w:ilvl w:val="0"/>
          <w:numId w:val="21"/>
        </w:numPr>
        <w:spacing w:after="0" w:line="240" w:lineRule="auto"/>
        <w:rPr>
          <w:rFonts w:ascii="Arial" w:hAnsi="Arial" w:cs="Arial"/>
        </w:rPr>
      </w:pPr>
      <w:r>
        <w:rPr>
          <w:rFonts w:ascii="Arial" w:hAnsi="Arial" w:cs="Arial"/>
        </w:rPr>
        <w:t xml:space="preserve">Participants </w:t>
      </w:r>
      <w:r w:rsidR="006271CD">
        <w:rPr>
          <w:rFonts w:ascii="Arial" w:hAnsi="Arial" w:cs="Arial"/>
        </w:rPr>
        <w:t>observed</w:t>
      </w:r>
      <w:r w:rsidR="00EA6D74">
        <w:rPr>
          <w:rFonts w:ascii="Arial" w:hAnsi="Arial" w:cs="Arial"/>
        </w:rPr>
        <w:t xml:space="preserve"> as</w:t>
      </w:r>
      <w:r>
        <w:rPr>
          <w:rFonts w:ascii="Arial" w:hAnsi="Arial" w:cs="Arial"/>
        </w:rPr>
        <w:t xml:space="preserve"> no measured fever (i.e. the participant is afebrile) and </w:t>
      </w:r>
      <w:r w:rsidR="00EA6D74">
        <w:rPr>
          <w:rFonts w:ascii="Arial" w:hAnsi="Arial" w:cs="Arial"/>
        </w:rPr>
        <w:t xml:space="preserve">with </w:t>
      </w:r>
      <w:r>
        <w:rPr>
          <w:rFonts w:ascii="Arial" w:hAnsi="Arial" w:cs="Arial"/>
        </w:rPr>
        <w:t xml:space="preserve">no data </w:t>
      </w:r>
      <w:r w:rsidR="006271CD">
        <w:rPr>
          <w:rFonts w:ascii="Arial" w:hAnsi="Arial" w:cs="Arial"/>
        </w:rPr>
        <w:t xml:space="preserve">recorded </w:t>
      </w:r>
      <w:r>
        <w:rPr>
          <w:rFonts w:ascii="Arial" w:hAnsi="Arial" w:cs="Arial"/>
        </w:rPr>
        <w:t>for “recent history of fever” will be treated as having “no fever or recent history of fever”</w:t>
      </w:r>
    </w:p>
    <w:p w14:paraId="64F57821" w14:textId="3DCB84AA" w:rsidR="00157EE5" w:rsidRPr="00D722D6" w:rsidRDefault="00157EE5" w:rsidP="00607A87">
      <w:pPr>
        <w:pStyle w:val="ListParagraph"/>
        <w:numPr>
          <w:ilvl w:val="0"/>
          <w:numId w:val="21"/>
        </w:numPr>
        <w:spacing w:after="0" w:line="240" w:lineRule="auto"/>
        <w:rPr>
          <w:rFonts w:ascii="Arial" w:hAnsi="Arial" w:cs="Arial"/>
        </w:rPr>
      </w:pPr>
      <w:r>
        <w:rPr>
          <w:rFonts w:ascii="Arial" w:hAnsi="Arial" w:cs="Arial"/>
        </w:rPr>
        <w:t xml:space="preserve">Participants </w:t>
      </w:r>
      <w:r w:rsidR="00B0658E">
        <w:rPr>
          <w:rFonts w:ascii="Arial" w:hAnsi="Arial" w:cs="Arial"/>
        </w:rPr>
        <w:t>observed as</w:t>
      </w:r>
      <w:r>
        <w:rPr>
          <w:rFonts w:ascii="Arial" w:hAnsi="Arial" w:cs="Arial"/>
        </w:rPr>
        <w:t xml:space="preserve"> no recent history of fever (i.e. the participant has not felt febrile in the last 72 hours) and </w:t>
      </w:r>
      <w:r w:rsidR="00B0658E">
        <w:rPr>
          <w:rFonts w:ascii="Arial" w:hAnsi="Arial" w:cs="Arial"/>
        </w:rPr>
        <w:t xml:space="preserve">with </w:t>
      </w:r>
      <w:r>
        <w:rPr>
          <w:rFonts w:ascii="Arial" w:hAnsi="Arial" w:cs="Arial"/>
        </w:rPr>
        <w:t>no available temperature measurement will also be treated as having “no fever or recent history of fever”</w:t>
      </w:r>
    </w:p>
    <w:p w14:paraId="66946072" w14:textId="77777777" w:rsidR="009B654B" w:rsidRDefault="009B654B" w:rsidP="001E019D">
      <w:pPr>
        <w:spacing w:after="0" w:line="240" w:lineRule="auto"/>
        <w:rPr>
          <w:rFonts w:ascii="Arial" w:hAnsi="Arial" w:cs="Arial"/>
        </w:rPr>
      </w:pPr>
    </w:p>
    <w:p w14:paraId="4A587D9C" w14:textId="56827B0B" w:rsidR="00157EE5" w:rsidRPr="00AB21E6" w:rsidRDefault="004E7021" w:rsidP="009623F8">
      <w:pPr>
        <w:spacing w:after="0" w:line="240" w:lineRule="auto"/>
        <w:rPr>
          <w:rFonts w:ascii="Arial" w:hAnsi="Arial" w:cs="Arial"/>
        </w:rPr>
      </w:pPr>
      <w:r>
        <w:rPr>
          <w:rFonts w:ascii="Arial" w:hAnsi="Arial" w:cs="Arial"/>
        </w:rPr>
        <w:t xml:space="preserve">Subgroup </w:t>
      </w:r>
      <w:r w:rsidR="00157EE5" w:rsidRPr="009623F8">
        <w:rPr>
          <w:rFonts w:ascii="Arial" w:hAnsi="Arial" w:cs="Arial"/>
        </w:rPr>
        <w:t>analyses</w:t>
      </w:r>
      <w:r w:rsidR="00157EE5" w:rsidRPr="004C4523">
        <w:rPr>
          <w:rFonts w:ascii="Arial" w:hAnsi="Arial" w:cs="Arial"/>
          <w:color w:val="2E74B5" w:themeColor="accent5" w:themeShade="BF"/>
        </w:rPr>
        <w:t xml:space="preserve"> </w:t>
      </w:r>
      <w:r w:rsidR="00157EE5">
        <w:rPr>
          <w:rFonts w:ascii="Arial" w:hAnsi="Arial" w:cs="Arial"/>
        </w:rPr>
        <w:t xml:space="preserve">will be conducted </w:t>
      </w:r>
      <w:r w:rsidR="005801E3">
        <w:rPr>
          <w:rFonts w:ascii="Arial" w:hAnsi="Arial" w:cs="Arial"/>
        </w:rPr>
        <w:t xml:space="preserve">using the same methodology </w:t>
      </w:r>
      <w:r w:rsidR="00157EE5">
        <w:rPr>
          <w:rFonts w:ascii="Arial" w:hAnsi="Arial" w:cs="Arial"/>
        </w:rPr>
        <w:t xml:space="preserve">to investigate the variation of pyrogenic density </w:t>
      </w:r>
      <w:r>
        <w:rPr>
          <w:rFonts w:ascii="Arial" w:hAnsi="Arial" w:cs="Arial"/>
        </w:rPr>
        <w:t>at recurrence 1 with age</w:t>
      </w:r>
      <w:r w:rsidR="009623F8">
        <w:rPr>
          <w:rFonts w:ascii="Arial" w:hAnsi="Arial" w:cs="Arial"/>
        </w:rPr>
        <w:t xml:space="preserve"> and </w:t>
      </w:r>
      <w:r w:rsidR="000035FE">
        <w:rPr>
          <w:rFonts w:ascii="Arial" w:hAnsi="Arial" w:cs="Arial"/>
        </w:rPr>
        <w:t>relapse periodicity</w:t>
      </w:r>
      <w:r w:rsidR="009623F8">
        <w:rPr>
          <w:rFonts w:ascii="Arial" w:hAnsi="Arial" w:cs="Arial"/>
        </w:rPr>
        <w:t>. For participants who had at least 2 recurrences, the pyrogenic density will be compared for recurrence 1 and recurrence 2 and subgroup analyses will be conducted to explore differences observed with timing of recurrence 2 after recurrence 1.</w:t>
      </w:r>
      <w:r w:rsidR="00FC1231">
        <w:rPr>
          <w:rFonts w:ascii="Arial" w:hAnsi="Arial" w:cs="Arial"/>
        </w:rPr>
        <w:t xml:space="preserve"> Shared frailty analysis will also be performed to investigate study site effects.</w:t>
      </w:r>
    </w:p>
    <w:p w14:paraId="58E8E8B1" w14:textId="77777777" w:rsidR="00157EE5" w:rsidRDefault="00157EE5" w:rsidP="00157EE5">
      <w:pPr>
        <w:spacing w:after="0" w:line="240" w:lineRule="auto"/>
        <w:rPr>
          <w:rFonts w:ascii="Arial" w:hAnsi="Arial" w:cs="Arial"/>
        </w:rPr>
      </w:pPr>
    </w:p>
    <w:p w14:paraId="541DDF98" w14:textId="402E9098" w:rsidR="007E166D" w:rsidRDefault="007E166D" w:rsidP="00F83D8B">
      <w:pPr>
        <w:spacing w:after="0" w:line="240" w:lineRule="auto"/>
        <w:rPr>
          <w:rFonts w:ascii="Arial" w:hAnsi="Arial" w:cs="Arial"/>
          <w:b/>
          <w:color w:val="0070C0"/>
        </w:rPr>
      </w:pPr>
    </w:p>
    <w:p w14:paraId="556DDE8D" w14:textId="77777777" w:rsidR="0064240D" w:rsidRDefault="0064240D" w:rsidP="00F83D8B">
      <w:pPr>
        <w:spacing w:after="0" w:line="240" w:lineRule="auto"/>
        <w:rPr>
          <w:rFonts w:ascii="Arial" w:hAnsi="Arial" w:cs="Arial"/>
          <w:b/>
          <w:color w:val="0070C0"/>
        </w:rPr>
      </w:pPr>
    </w:p>
    <w:p w14:paraId="3E1141B0" w14:textId="77777777" w:rsidR="007E166D" w:rsidRDefault="007E166D" w:rsidP="00F83D8B">
      <w:pPr>
        <w:spacing w:after="0" w:line="240" w:lineRule="auto"/>
        <w:rPr>
          <w:rFonts w:ascii="Arial" w:hAnsi="Arial" w:cs="Arial"/>
          <w:b/>
          <w:color w:val="0070C0"/>
        </w:rPr>
      </w:pPr>
    </w:p>
    <w:p w14:paraId="445139CB" w14:textId="77777777" w:rsidR="002172F7" w:rsidRDefault="002172F7">
      <w:pPr>
        <w:rPr>
          <w:rFonts w:ascii="Arial" w:hAnsi="Arial" w:cs="Arial"/>
          <w:b/>
          <w:color w:val="0070C0"/>
        </w:rPr>
      </w:pPr>
      <w:r>
        <w:rPr>
          <w:rFonts w:ascii="Arial" w:hAnsi="Arial" w:cs="Arial"/>
          <w:b/>
          <w:color w:val="0070C0"/>
        </w:rPr>
        <w:br w:type="page"/>
      </w:r>
    </w:p>
    <w:p w14:paraId="26F303F3" w14:textId="182AFDA4" w:rsidR="00F83D8B" w:rsidRDefault="00F83D8B" w:rsidP="00F83D8B">
      <w:pPr>
        <w:spacing w:after="0" w:line="240" w:lineRule="auto"/>
        <w:rPr>
          <w:rFonts w:ascii="Arial" w:hAnsi="Arial" w:cs="Arial"/>
          <w:b/>
          <w:color w:val="0070C0"/>
        </w:rPr>
      </w:pPr>
      <w:r w:rsidRPr="006F032D">
        <w:rPr>
          <w:rFonts w:ascii="Arial" w:hAnsi="Arial" w:cs="Arial"/>
          <w:b/>
          <w:color w:val="0070C0"/>
        </w:rPr>
        <w:lastRenderedPageBreak/>
        <w:t xml:space="preserve">Objective </w:t>
      </w:r>
      <w:r>
        <w:rPr>
          <w:rFonts w:ascii="Arial" w:hAnsi="Arial" w:cs="Arial"/>
          <w:b/>
          <w:color w:val="0070C0"/>
        </w:rPr>
        <w:t>2b</w:t>
      </w:r>
      <w:r w:rsidRPr="006F032D">
        <w:rPr>
          <w:rFonts w:ascii="Arial" w:hAnsi="Arial" w:cs="Arial"/>
          <w:b/>
          <w:color w:val="0070C0"/>
        </w:rPr>
        <w:t>)</w:t>
      </w:r>
    </w:p>
    <w:p w14:paraId="48CB9AE9" w14:textId="278D9DDB" w:rsidR="0081001E" w:rsidRPr="00F83D8B" w:rsidRDefault="00F83D8B" w:rsidP="00F83D8B">
      <w:pPr>
        <w:spacing w:after="0" w:line="240" w:lineRule="auto"/>
        <w:rPr>
          <w:rFonts w:ascii="Arial" w:hAnsi="Arial" w:cs="Arial"/>
          <w:bCs/>
          <w:i/>
          <w:iCs/>
          <w:color w:val="2E74B5" w:themeColor="accent5" w:themeShade="BF"/>
        </w:rPr>
      </w:pPr>
      <w:r w:rsidRPr="00F83D8B">
        <w:rPr>
          <w:rFonts w:ascii="Arial" w:hAnsi="Arial" w:cs="Arial"/>
          <w:bCs/>
          <w:i/>
          <w:iCs/>
          <w:color w:val="2E74B5" w:themeColor="accent5" w:themeShade="BF"/>
        </w:rPr>
        <w:t xml:space="preserve">To investigate which variables of interest are predictive for fever and/or a recent history of fever </w:t>
      </w:r>
      <w:r w:rsidR="00123FB8">
        <w:rPr>
          <w:rFonts w:ascii="Arial" w:hAnsi="Arial" w:cs="Arial"/>
          <w:bCs/>
          <w:i/>
          <w:iCs/>
          <w:color w:val="2E74B5" w:themeColor="accent5" w:themeShade="BF"/>
        </w:rPr>
        <w:t>at the first episode of</w:t>
      </w:r>
      <w:r w:rsidRPr="00F83D8B">
        <w:rPr>
          <w:rFonts w:ascii="Arial" w:hAnsi="Arial" w:cs="Arial"/>
          <w:bCs/>
          <w:i/>
          <w:iCs/>
          <w:color w:val="2E74B5" w:themeColor="accent5" w:themeShade="BF"/>
        </w:rPr>
        <w:t xml:space="preserve"> recurrent P. vivax parasitaemia.</w:t>
      </w:r>
    </w:p>
    <w:p w14:paraId="03F1C478" w14:textId="77777777" w:rsidR="00905A29" w:rsidRDefault="00905A29" w:rsidP="00157EE5">
      <w:pPr>
        <w:spacing w:after="0" w:line="240" w:lineRule="auto"/>
        <w:rPr>
          <w:rFonts w:ascii="Arial" w:hAnsi="Arial" w:cs="Arial"/>
        </w:rPr>
      </w:pPr>
    </w:p>
    <w:p w14:paraId="4F9B1750" w14:textId="3DA5744E" w:rsidR="00157EE5" w:rsidRPr="00F83D8B" w:rsidRDefault="00157EE5" w:rsidP="00F83D8B">
      <w:pPr>
        <w:spacing w:after="0" w:line="240" w:lineRule="auto"/>
        <w:rPr>
          <w:rFonts w:ascii="Arial" w:hAnsi="Arial" w:cs="Arial"/>
        </w:rPr>
      </w:pPr>
      <w:r>
        <w:rPr>
          <w:rFonts w:ascii="Arial" w:hAnsi="Arial" w:cs="Arial"/>
        </w:rPr>
        <w:t xml:space="preserve">Multivariable logistic regression analysis will be performed to investigate which variables of interest predict the presence or absence of fever or a recent history of fever during </w:t>
      </w:r>
      <w:r w:rsidR="00036996">
        <w:rPr>
          <w:rFonts w:ascii="Arial" w:hAnsi="Arial" w:cs="Arial"/>
        </w:rPr>
        <w:t>the first</w:t>
      </w:r>
      <w:r>
        <w:rPr>
          <w:rFonts w:ascii="Arial" w:hAnsi="Arial" w:cs="Arial"/>
        </w:rPr>
        <w:t xml:space="preserve"> recurrent episode of peripheral </w:t>
      </w:r>
      <w:r>
        <w:rPr>
          <w:rFonts w:ascii="Arial" w:hAnsi="Arial" w:cs="Arial"/>
          <w:i/>
          <w:iCs/>
        </w:rPr>
        <w:t xml:space="preserve">P. vivax </w:t>
      </w:r>
      <w:r>
        <w:rPr>
          <w:rFonts w:ascii="Arial" w:hAnsi="Arial" w:cs="Arial"/>
        </w:rPr>
        <w:t>parasitaemia. The following variables will be investigated</w:t>
      </w:r>
      <w:r w:rsidR="00751813">
        <w:rPr>
          <w:rFonts w:ascii="Arial" w:hAnsi="Arial" w:cs="Arial"/>
        </w:rPr>
        <w:t xml:space="preserve"> (see </w:t>
      </w:r>
      <w:r w:rsidR="00751813" w:rsidRPr="00751813">
        <w:rPr>
          <w:rFonts w:ascii="Arial" w:hAnsi="Arial" w:cs="Arial"/>
          <w:color w:val="2E74B5" w:themeColor="accent5" w:themeShade="BF"/>
        </w:rPr>
        <w:t>Section 6.3.2</w:t>
      </w:r>
      <w:r w:rsidR="00751813">
        <w:rPr>
          <w:rFonts w:ascii="Arial" w:hAnsi="Arial" w:cs="Arial"/>
        </w:rPr>
        <w:t xml:space="preserve"> for </w:t>
      </w:r>
      <w:r w:rsidR="00751813" w:rsidRPr="0081001E">
        <w:rPr>
          <w:rFonts w:ascii="Arial" w:hAnsi="Arial" w:cs="Arial"/>
          <w:color w:val="2E74B5" w:themeColor="accent5" w:themeShade="BF"/>
        </w:rPr>
        <w:t>Definitions</w:t>
      </w:r>
      <w:r w:rsidR="00751813">
        <w:rPr>
          <w:rFonts w:ascii="Arial" w:hAnsi="Arial" w:cs="Arial"/>
        </w:rPr>
        <w:t>)</w:t>
      </w:r>
      <w:r>
        <w:rPr>
          <w:rFonts w:ascii="Arial" w:hAnsi="Arial" w:cs="Arial"/>
        </w:rPr>
        <w:t>:</w:t>
      </w:r>
    </w:p>
    <w:p w14:paraId="4D17599D" w14:textId="77777777" w:rsidR="0081001E" w:rsidRDefault="0081001E" w:rsidP="00157EE5">
      <w:pPr>
        <w:autoSpaceDE w:val="0"/>
        <w:autoSpaceDN w:val="0"/>
        <w:adjustRightInd w:val="0"/>
        <w:spacing w:after="0" w:line="240" w:lineRule="auto"/>
        <w:rPr>
          <w:rFonts w:ascii="Arial" w:hAnsi="Arial" w:cs="Arial"/>
          <w:b/>
          <w:color w:val="0070C0"/>
          <w:sz w:val="24"/>
          <w:szCs w:val="24"/>
        </w:rPr>
      </w:pPr>
    </w:p>
    <w:p w14:paraId="4BD906AD" w14:textId="3F3771D9" w:rsidR="00157EE5" w:rsidRPr="00157EE5" w:rsidRDefault="00157EE5" w:rsidP="00157EE5">
      <w:pPr>
        <w:autoSpaceDE w:val="0"/>
        <w:autoSpaceDN w:val="0"/>
        <w:adjustRightInd w:val="0"/>
        <w:spacing w:after="0" w:line="240" w:lineRule="auto"/>
        <w:rPr>
          <w:rFonts w:ascii="Arial" w:hAnsi="Arial" w:cs="Arial"/>
          <w:b/>
          <w:color w:val="0070C0"/>
          <w:sz w:val="24"/>
          <w:szCs w:val="24"/>
        </w:rPr>
      </w:pPr>
      <w:r w:rsidRPr="00520507">
        <w:rPr>
          <w:rFonts w:ascii="Arial" w:hAnsi="Arial" w:cs="Arial"/>
          <w:b/>
          <w:color w:val="0070C0"/>
          <w:sz w:val="24"/>
          <w:szCs w:val="24"/>
        </w:rPr>
        <w:t>Site</w:t>
      </w:r>
    </w:p>
    <w:p w14:paraId="5FE202C6" w14:textId="77777777" w:rsidR="00157EE5" w:rsidRPr="00924546" w:rsidRDefault="00157EE5" w:rsidP="00157EE5">
      <w:pPr>
        <w:pStyle w:val="ListParagraph"/>
        <w:numPr>
          <w:ilvl w:val="0"/>
          <w:numId w:val="5"/>
        </w:numPr>
        <w:autoSpaceDE w:val="0"/>
        <w:autoSpaceDN w:val="0"/>
        <w:adjustRightInd w:val="0"/>
        <w:spacing w:after="0" w:line="240" w:lineRule="auto"/>
        <w:rPr>
          <w:rFonts w:ascii="Arial" w:hAnsi="Arial" w:cs="Arial"/>
          <w:color w:val="000000"/>
        </w:rPr>
      </w:pPr>
      <w:r w:rsidRPr="00E97141">
        <w:rPr>
          <w:rFonts w:ascii="Arial" w:hAnsi="Arial" w:cs="Arial"/>
          <w:b/>
        </w:rPr>
        <w:t>Derived:</w:t>
      </w:r>
      <w:r w:rsidRPr="00E97141">
        <w:rPr>
          <w:rFonts w:ascii="Arial" w:hAnsi="Arial" w:cs="Arial"/>
        </w:rPr>
        <w:t xml:space="preserve"> </w:t>
      </w:r>
    </w:p>
    <w:p w14:paraId="7C913D4B" w14:textId="77777777" w:rsidR="00157EE5" w:rsidRPr="00A96772" w:rsidRDefault="00157EE5" w:rsidP="00157EE5">
      <w:pPr>
        <w:pStyle w:val="ListParagraph"/>
        <w:numPr>
          <w:ilvl w:val="1"/>
          <w:numId w:val="5"/>
        </w:numPr>
        <w:autoSpaceDE w:val="0"/>
        <w:autoSpaceDN w:val="0"/>
        <w:adjustRightInd w:val="0"/>
        <w:spacing w:after="0" w:line="240" w:lineRule="auto"/>
        <w:rPr>
          <w:rFonts w:ascii="Arial" w:hAnsi="Arial" w:cs="Arial"/>
          <w:color w:val="000000"/>
        </w:rPr>
      </w:pPr>
      <w:r w:rsidRPr="00A96772">
        <w:rPr>
          <w:rFonts w:ascii="Arial" w:hAnsi="Arial" w:cs="Arial"/>
          <w:bCs/>
          <w:color w:val="000000"/>
        </w:rPr>
        <w:t>Regional transmission intensity</w:t>
      </w:r>
    </w:p>
    <w:p w14:paraId="6AE95E81" w14:textId="77777777" w:rsidR="00157EE5" w:rsidRPr="00A96772" w:rsidRDefault="00157EE5" w:rsidP="00157EE5">
      <w:pPr>
        <w:pStyle w:val="ListParagraph"/>
        <w:numPr>
          <w:ilvl w:val="1"/>
          <w:numId w:val="5"/>
        </w:numPr>
        <w:autoSpaceDE w:val="0"/>
        <w:autoSpaceDN w:val="0"/>
        <w:adjustRightInd w:val="0"/>
        <w:spacing w:after="0" w:line="240" w:lineRule="auto"/>
        <w:rPr>
          <w:rFonts w:ascii="Arial" w:hAnsi="Arial" w:cs="Arial"/>
          <w:color w:val="000000"/>
        </w:rPr>
      </w:pPr>
      <w:r w:rsidRPr="00A96772">
        <w:rPr>
          <w:rFonts w:ascii="Arial" w:hAnsi="Arial" w:cs="Arial"/>
          <w:bCs/>
          <w:color w:val="000000"/>
        </w:rPr>
        <w:t>Regional relapse periodicity</w:t>
      </w:r>
    </w:p>
    <w:p w14:paraId="1D60EBB4" w14:textId="03FB3701" w:rsidR="00157EE5" w:rsidRPr="00A96772" w:rsidRDefault="00E61395" w:rsidP="00157EE5">
      <w:pPr>
        <w:pStyle w:val="ListParagraph"/>
        <w:numPr>
          <w:ilvl w:val="1"/>
          <w:numId w:val="5"/>
        </w:numPr>
        <w:autoSpaceDE w:val="0"/>
        <w:autoSpaceDN w:val="0"/>
        <w:adjustRightInd w:val="0"/>
        <w:spacing w:after="0" w:line="240" w:lineRule="auto"/>
        <w:rPr>
          <w:rFonts w:ascii="Arial" w:hAnsi="Arial" w:cs="Arial"/>
          <w:color w:val="000000"/>
        </w:rPr>
      </w:pPr>
      <w:r>
        <w:rPr>
          <w:rFonts w:ascii="Arial" w:hAnsi="Arial" w:cs="Arial"/>
        </w:rPr>
        <w:t>Elimination half-life of s</w:t>
      </w:r>
      <w:r w:rsidR="00157EE5" w:rsidRPr="00A96772">
        <w:rPr>
          <w:rFonts w:ascii="Arial" w:hAnsi="Arial" w:cs="Arial"/>
        </w:rPr>
        <w:t>chizontocidal treatment administered</w:t>
      </w:r>
    </w:p>
    <w:p w14:paraId="236BB4F6" w14:textId="498CFD34" w:rsidR="00157EE5" w:rsidRDefault="00157EE5" w:rsidP="00157EE5">
      <w:pPr>
        <w:pStyle w:val="ListParagraph"/>
        <w:numPr>
          <w:ilvl w:val="1"/>
          <w:numId w:val="5"/>
        </w:numPr>
        <w:autoSpaceDE w:val="0"/>
        <w:autoSpaceDN w:val="0"/>
        <w:adjustRightInd w:val="0"/>
        <w:spacing w:after="0" w:line="240" w:lineRule="auto"/>
        <w:rPr>
          <w:rFonts w:ascii="Arial" w:hAnsi="Arial" w:cs="Arial"/>
          <w:color w:val="000000"/>
        </w:rPr>
      </w:pPr>
      <w:r w:rsidRPr="00A96772">
        <w:rPr>
          <w:rFonts w:ascii="Arial" w:hAnsi="Arial" w:cs="Arial"/>
          <w:color w:val="000000"/>
        </w:rPr>
        <w:t xml:space="preserve">Timing of </w:t>
      </w:r>
      <w:r w:rsidR="00E84B4A">
        <w:rPr>
          <w:rFonts w:ascii="Arial" w:hAnsi="Arial" w:cs="Arial"/>
          <w:color w:val="000000"/>
        </w:rPr>
        <w:t>the first recurrence after day 0</w:t>
      </w:r>
    </w:p>
    <w:p w14:paraId="6C2AD64D" w14:textId="581F1641" w:rsidR="00E84B4A" w:rsidRPr="00A96772" w:rsidRDefault="00E84B4A" w:rsidP="00E84B4A">
      <w:pPr>
        <w:pStyle w:val="ListParagraph"/>
        <w:numPr>
          <w:ilvl w:val="2"/>
          <w:numId w:val="5"/>
        </w:numPr>
        <w:autoSpaceDE w:val="0"/>
        <w:autoSpaceDN w:val="0"/>
        <w:adjustRightInd w:val="0"/>
        <w:spacing w:after="0" w:line="240" w:lineRule="auto"/>
        <w:rPr>
          <w:rFonts w:ascii="Arial" w:hAnsi="Arial" w:cs="Arial"/>
          <w:color w:val="000000"/>
        </w:rPr>
      </w:pPr>
      <w:r>
        <w:rPr>
          <w:rFonts w:ascii="Arial" w:hAnsi="Arial" w:cs="Arial"/>
          <w:color w:val="000000"/>
        </w:rPr>
        <w:t>This will also be explored in relation to the elimination half-life of the schizontocidal treatment administered (rapid vs. intermediate vs. slow elimination)</w:t>
      </w:r>
    </w:p>
    <w:p w14:paraId="477C7DDB" w14:textId="77777777" w:rsidR="0081001E" w:rsidRDefault="0081001E" w:rsidP="00157EE5">
      <w:pPr>
        <w:autoSpaceDE w:val="0"/>
        <w:autoSpaceDN w:val="0"/>
        <w:adjustRightInd w:val="0"/>
        <w:spacing w:after="0" w:line="240" w:lineRule="auto"/>
        <w:rPr>
          <w:rFonts w:ascii="Arial" w:hAnsi="Arial" w:cs="Arial"/>
          <w:b/>
          <w:color w:val="0070C0"/>
          <w:sz w:val="24"/>
          <w:szCs w:val="24"/>
        </w:rPr>
      </w:pPr>
    </w:p>
    <w:p w14:paraId="59848B3B" w14:textId="3E7D054C" w:rsidR="00157EE5" w:rsidRPr="00157EE5" w:rsidRDefault="00157EE5" w:rsidP="00157EE5">
      <w:pPr>
        <w:autoSpaceDE w:val="0"/>
        <w:autoSpaceDN w:val="0"/>
        <w:adjustRightInd w:val="0"/>
        <w:spacing w:after="0" w:line="240" w:lineRule="auto"/>
        <w:rPr>
          <w:rFonts w:ascii="Arial" w:hAnsi="Arial" w:cs="Arial"/>
          <w:b/>
          <w:color w:val="0070C0"/>
          <w:sz w:val="24"/>
          <w:szCs w:val="24"/>
        </w:rPr>
      </w:pPr>
      <w:r w:rsidRPr="00520507">
        <w:rPr>
          <w:rFonts w:ascii="Arial" w:hAnsi="Arial" w:cs="Arial"/>
          <w:b/>
          <w:color w:val="0070C0"/>
          <w:sz w:val="24"/>
          <w:szCs w:val="24"/>
        </w:rPr>
        <w:t>Participant</w:t>
      </w:r>
    </w:p>
    <w:p w14:paraId="4CDE307F" w14:textId="77777777" w:rsidR="00157EE5" w:rsidRPr="002A4AF2" w:rsidRDefault="00157EE5" w:rsidP="00157EE5">
      <w:pPr>
        <w:pStyle w:val="ListParagraph"/>
        <w:numPr>
          <w:ilvl w:val="0"/>
          <w:numId w:val="5"/>
        </w:numPr>
        <w:autoSpaceDE w:val="0"/>
        <w:autoSpaceDN w:val="0"/>
        <w:adjustRightInd w:val="0"/>
        <w:spacing w:after="0" w:line="240" w:lineRule="auto"/>
        <w:rPr>
          <w:rFonts w:ascii="Arial" w:hAnsi="Arial" w:cs="Arial"/>
          <w:color w:val="000000"/>
        </w:rPr>
      </w:pPr>
      <w:r w:rsidRPr="00E97141">
        <w:rPr>
          <w:rFonts w:ascii="Arial" w:hAnsi="Arial" w:cs="Arial"/>
          <w:b/>
          <w:bCs/>
        </w:rPr>
        <w:t>Baseline:</w:t>
      </w:r>
    </w:p>
    <w:p w14:paraId="02F75EB8" w14:textId="77777777" w:rsidR="00157EE5" w:rsidRDefault="00157EE5" w:rsidP="00157EE5">
      <w:pPr>
        <w:pStyle w:val="ListParagraph"/>
        <w:numPr>
          <w:ilvl w:val="1"/>
          <w:numId w:val="5"/>
        </w:numPr>
        <w:autoSpaceDE w:val="0"/>
        <w:autoSpaceDN w:val="0"/>
        <w:adjustRightInd w:val="0"/>
        <w:spacing w:after="0" w:line="240" w:lineRule="auto"/>
        <w:rPr>
          <w:rFonts w:ascii="Arial" w:hAnsi="Arial" w:cs="Arial"/>
          <w:color w:val="000000"/>
        </w:rPr>
      </w:pPr>
      <w:r>
        <w:rPr>
          <w:rFonts w:ascii="Arial" w:hAnsi="Arial" w:cs="Arial"/>
          <w:color w:val="000000"/>
        </w:rPr>
        <w:t>S</w:t>
      </w:r>
      <w:r w:rsidRPr="005A7932">
        <w:rPr>
          <w:rFonts w:ascii="Arial" w:hAnsi="Arial" w:cs="Arial"/>
          <w:color w:val="000000"/>
        </w:rPr>
        <w:t>ex</w:t>
      </w:r>
    </w:p>
    <w:p w14:paraId="66F95F81" w14:textId="77777777" w:rsidR="00157EE5" w:rsidRPr="00CB2876" w:rsidRDefault="00157EE5" w:rsidP="00157EE5">
      <w:pPr>
        <w:pStyle w:val="ListParagraph"/>
        <w:numPr>
          <w:ilvl w:val="1"/>
          <w:numId w:val="5"/>
        </w:numPr>
        <w:autoSpaceDE w:val="0"/>
        <w:autoSpaceDN w:val="0"/>
        <w:adjustRightInd w:val="0"/>
        <w:spacing w:after="0" w:line="240" w:lineRule="auto"/>
        <w:rPr>
          <w:rFonts w:ascii="Arial" w:hAnsi="Arial" w:cs="Arial"/>
          <w:color w:val="000000"/>
        </w:rPr>
      </w:pPr>
      <w:r>
        <w:rPr>
          <w:rFonts w:ascii="Arial" w:hAnsi="Arial" w:cs="Arial"/>
          <w:bCs/>
          <w:color w:val="000000"/>
        </w:rPr>
        <w:t>Asexual parasite density</w:t>
      </w:r>
    </w:p>
    <w:p w14:paraId="07D1CD95" w14:textId="77777777" w:rsidR="00157EE5" w:rsidRPr="000F6922" w:rsidRDefault="00157EE5" w:rsidP="00157EE5">
      <w:pPr>
        <w:pStyle w:val="ListParagraph"/>
        <w:autoSpaceDE w:val="0"/>
        <w:autoSpaceDN w:val="0"/>
        <w:adjustRightInd w:val="0"/>
        <w:spacing w:after="0" w:line="240" w:lineRule="auto"/>
        <w:rPr>
          <w:rFonts w:ascii="Arial" w:hAnsi="Arial" w:cs="Arial"/>
          <w:color w:val="000000"/>
        </w:rPr>
      </w:pPr>
    </w:p>
    <w:p w14:paraId="16C87EF6" w14:textId="77777777" w:rsidR="00157EE5" w:rsidRPr="00856D8C" w:rsidRDefault="00157EE5" w:rsidP="00157EE5">
      <w:pPr>
        <w:pStyle w:val="ListParagraph"/>
        <w:numPr>
          <w:ilvl w:val="0"/>
          <w:numId w:val="5"/>
        </w:numPr>
        <w:autoSpaceDE w:val="0"/>
        <w:autoSpaceDN w:val="0"/>
        <w:adjustRightInd w:val="0"/>
        <w:spacing w:after="0" w:line="240" w:lineRule="auto"/>
        <w:rPr>
          <w:rFonts w:ascii="Arial" w:hAnsi="Arial" w:cs="Arial"/>
          <w:color w:val="000000"/>
        </w:rPr>
      </w:pPr>
      <w:r w:rsidRPr="00E97141">
        <w:rPr>
          <w:rFonts w:ascii="Arial" w:hAnsi="Arial" w:cs="Arial"/>
          <w:b/>
          <w:bCs/>
        </w:rPr>
        <w:t>Derived:</w:t>
      </w:r>
    </w:p>
    <w:p w14:paraId="24BB4ED4" w14:textId="77777777" w:rsidR="00157EE5" w:rsidRDefault="00157EE5" w:rsidP="00157EE5">
      <w:pPr>
        <w:pStyle w:val="ListParagraph"/>
        <w:numPr>
          <w:ilvl w:val="1"/>
          <w:numId w:val="5"/>
        </w:numPr>
        <w:autoSpaceDE w:val="0"/>
        <w:autoSpaceDN w:val="0"/>
        <w:adjustRightInd w:val="0"/>
        <w:spacing w:after="0" w:line="240" w:lineRule="auto"/>
        <w:rPr>
          <w:rFonts w:ascii="Arial" w:hAnsi="Arial" w:cs="Arial"/>
          <w:color w:val="000000"/>
        </w:rPr>
      </w:pPr>
      <w:r w:rsidRPr="00A96772">
        <w:rPr>
          <w:rFonts w:ascii="Arial" w:hAnsi="Arial" w:cs="Arial"/>
          <w:bCs/>
        </w:rPr>
        <w:t>A</w:t>
      </w:r>
      <w:r w:rsidRPr="00A96772">
        <w:rPr>
          <w:rFonts w:ascii="Arial" w:hAnsi="Arial" w:cs="Arial"/>
          <w:color w:val="000000"/>
        </w:rPr>
        <w:t>ge group</w:t>
      </w:r>
    </w:p>
    <w:p w14:paraId="0EA403FD" w14:textId="77777777" w:rsidR="00157EE5" w:rsidRDefault="00157EE5" w:rsidP="00157EE5">
      <w:pPr>
        <w:spacing w:after="0" w:line="240" w:lineRule="auto"/>
        <w:rPr>
          <w:rFonts w:ascii="Arial" w:hAnsi="Arial" w:cs="Arial"/>
        </w:rPr>
      </w:pPr>
    </w:p>
    <w:p w14:paraId="7B8D1A31" w14:textId="77777777" w:rsidR="005F05CE" w:rsidRDefault="005F05CE" w:rsidP="00157EE5">
      <w:pPr>
        <w:pStyle w:val="Default"/>
        <w:rPr>
          <w:rFonts w:ascii="Arial" w:hAnsi="Arial" w:cs="Arial"/>
          <w:b/>
          <w:bCs/>
          <w:color w:val="0070C0"/>
        </w:rPr>
      </w:pPr>
    </w:p>
    <w:p w14:paraId="0A4163A8" w14:textId="77777777" w:rsidR="002172F7" w:rsidRDefault="002172F7" w:rsidP="00157EE5">
      <w:pPr>
        <w:pStyle w:val="Default"/>
        <w:rPr>
          <w:rFonts w:ascii="Arial" w:hAnsi="Arial" w:cs="Arial"/>
          <w:b/>
          <w:bCs/>
          <w:color w:val="0070C0"/>
        </w:rPr>
      </w:pPr>
    </w:p>
    <w:p w14:paraId="476269F8" w14:textId="77777777" w:rsidR="002172F7" w:rsidRDefault="002172F7" w:rsidP="00157EE5">
      <w:pPr>
        <w:pStyle w:val="Default"/>
        <w:rPr>
          <w:rFonts w:ascii="Arial" w:hAnsi="Arial" w:cs="Arial"/>
          <w:b/>
          <w:bCs/>
          <w:color w:val="0070C0"/>
        </w:rPr>
      </w:pPr>
    </w:p>
    <w:p w14:paraId="3A8D5724" w14:textId="0998D650" w:rsidR="00157EE5" w:rsidRPr="005F05CE" w:rsidRDefault="003D7C0D" w:rsidP="00157EE5">
      <w:pPr>
        <w:pStyle w:val="Default"/>
        <w:rPr>
          <w:rFonts w:ascii="Arial" w:hAnsi="Arial" w:cs="Arial"/>
          <w:b/>
          <w:bCs/>
          <w:color w:val="0070C0"/>
        </w:rPr>
      </w:pPr>
      <w:r w:rsidRPr="005F05CE">
        <w:rPr>
          <w:rFonts w:ascii="Arial" w:hAnsi="Arial" w:cs="Arial"/>
          <w:b/>
          <w:bCs/>
          <w:color w:val="0070C0"/>
        </w:rPr>
        <w:t xml:space="preserve">6.3.5 </w:t>
      </w:r>
      <w:r w:rsidR="005F05CE">
        <w:rPr>
          <w:rFonts w:ascii="Arial" w:hAnsi="Arial" w:cs="Arial"/>
          <w:b/>
          <w:bCs/>
          <w:color w:val="0070C0"/>
        </w:rPr>
        <w:t xml:space="preserve">  </w:t>
      </w:r>
      <w:r w:rsidRPr="005F05CE">
        <w:rPr>
          <w:rFonts w:ascii="Arial" w:hAnsi="Arial" w:cs="Arial"/>
          <w:b/>
          <w:bCs/>
          <w:color w:val="0070C0"/>
        </w:rPr>
        <w:t>Additional Sensitivity Analyses</w:t>
      </w:r>
    </w:p>
    <w:p w14:paraId="0565A8F7" w14:textId="280FBB50" w:rsidR="003D7C0D" w:rsidRDefault="003D7C0D" w:rsidP="00157EE5">
      <w:pPr>
        <w:pStyle w:val="Default"/>
        <w:rPr>
          <w:rFonts w:ascii="Arial" w:hAnsi="Arial" w:cs="Arial"/>
          <w:color w:val="0070C0"/>
          <w:sz w:val="22"/>
          <w:szCs w:val="22"/>
        </w:rPr>
      </w:pPr>
    </w:p>
    <w:p w14:paraId="16C3D180" w14:textId="68A8AACA" w:rsidR="004E7BDA" w:rsidRDefault="003D7C0D" w:rsidP="004E7BDA">
      <w:pPr>
        <w:pStyle w:val="gmail-default"/>
        <w:spacing w:before="0" w:beforeAutospacing="0" w:after="0" w:afterAutospacing="0"/>
        <w:rPr>
          <w:rFonts w:ascii="Arial" w:hAnsi="Arial" w:cs="Arial"/>
          <w:color w:val="000000"/>
          <w:lang w:val="en-GB"/>
        </w:rPr>
      </w:pPr>
      <w:r w:rsidRPr="003D7C0D">
        <w:rPr>
          <w:rFonts w:ascii="Arial" w:hAnsi="Arial" w:cs="Arial"/>
        </w:rPr>
        <w:t>To explore the variation in effects, sensitivity</w:t>
      </w:r>
      <w:r>
        <w:rPr>
          <w:rFonts w:ascii="Arial" w:hAnsi="Arial" w:cs="Arial"/>
        </w:rPr>
        <w:t xml:space="preserve"> analyses</w:t>
      </w:r>
      <w:r w:rsidRPr="003D7C0D">
        <w:rPr>
          <w:rFonts w:ascii="Arial" w:hAnsi="Arial" w:cs="Arial"/>
        </w:rPr>
        <w:t xml:space="preserve"> </w:t>
      </w:r>
      <w:r w:rsidRPr="003D7C0D">
        <w:rPr>
          <w:rFonts w:ascii="Arial" w:hAnsi="Arial" w:cs="Arial"/>
          <w:color w:val="000000"/>
        </w:rPr>
        <w:t xml:space="preserve">will be carried out to assess </w:t>
      </w:r>
      <w:r>
        <w:rPr>
          <w:rFonts w:ascii="Arial" w:hAnsi="Arial" w:cs="Arial"/>
          <w:color w:val="000000"/>
        </w:rPr>
        <w:t xml:space="preserve">the </w:t>
      </w:r>
      <w:r w:rsidRPr="003D7C0D">
        <w:rPr>
          <w:rFonts w:ascii="Arial" w:hAnsi="Arial" w:cs="Arial"/>
          <w:color w:val="000000"/>
        </w:rPr>
        <w:t>heterogeneity of studies by removing one study site at a time</w:t>
      </w:r>
      <w:r>
        <w:rPr>
          <w:rFonts w:ascii="Arial" w:hAnsi="Arial" w:cs="Arial"/>
          <w:color w:val="000000"/>
        </w:rPr>
        <w:t>, and c</w:t>
      </w:r>
      <w:r w:rsidRPr="003D7C0D">
        <w:rPr>
          <w:rFonts w:ascii="Arial" w:hAnsi="Arial" w:cs="Arial"/>
          <w:color w:val="000000"/>
        </w:rPr>
        <w:t>alculat</w:t>
      </w:r>
      <w:r>
        <w:rPr>
          <w:rFonts w:ascii="Arial" w:hAnsi="Arial" w:cs="Arial"/>
          <w:color w:val="000000"/>
        </w:rPr>
        <w:t>ions</w:t>
      </w:r>
      <w:r w:rsidRPr="003D7C0D">
        <w:rPr>
          <w:rFonts w:ascii="Arial" w:hAnsi="Arial" w:cs="Arial"/>
          <w:color w:val="000000"/>
        </w:rPr>
        <w:t xml:space="preserve"> of the coefficient of variation (CV) around the parameter estimates will be presented</w:t>
      </w:r>
      <w:r w:rsidRPr="003D7C0D">
        <w:rPr>
          <w:rFonts w:ascii="Arial" w:hAnsi="Arial" w:cs="Arial"/>
          <w:color w:val="000000"/>
          <w:lang w:val="en-GB"/>
        </w:rPr>
        <w:t>.</w:t>
      </w:r>
      <w:r w:rsidR="004E7BDA">
        <w:rPr>
          <w:rFonts w:ascii="Arial" w:hAnsi="Arial" w:cs="Arial"/>
          <w:color w:val="000000"/>
          <w:lang w:val="en-GB"/>
        </w:rPr>
        <w:t xml:space="preserve"> This will be performed for the four main analyses:</w:t>
      </w:r>
    </w:p>
    <w:p w14:paraId="29ACEBDD" w14:textId="77777777" w:rsidR="00183232" w:rsidRPr="004E7BDA" w:rsidRDefault="00183232" w:rsidP="004E7BDA">
      <w:pPr>
        <w:pStyle w:val="gmail-default"/>
        <w:spacing w:before="0" w:beforeAutospacing="0" w:after="0" w:afterAutospacing="0"/>
        <w:rPr>
          <w:rFonts w:ascii="Arial" w:hAnsi="Arial" w:cs="Arial"/>
          <w:color w:val="000000"/>
          <w:lang w:val="en-GB"/>
        </w:rPr>
      </w:pPr>
    </w:p>
    <w:p w14:paraId="3E9EA192" w14:textId="2E07A447" w:rsidR="00D07DEC" w:rsidRDefault="004E7BDA" w:rsidP="00D07DEC">
      <w:pPr>
        <w:pStyle w:val="ListParagraph"/>
        <w:numPr>
          <w:ilvl w:val="0"/>
          <w:numId w:val="40"/>
        </w:numPr>
        <w:spacing w:after="0" w:line="240" w:lineRule="auto"/>
        <w:rPr>
          <w:rFonts w:ascii="Arial" w:hAnsi="Arial" w:cs="Arial"/>
          <w:color w:val="000000"/>
        </w:rPr>
      </w:pPr>
      <w:r w:rsidRPr="00D07DEC">
        <w:rPr>
          <w:rFonts w:ascii="Arial" w:hAnsi="Arial" w:cs="Arial"/>
          <w:color w:val="000000"/>
        </w:rPr>
        <w:t xml:space="preserve">The </w:t>
      </w:r>
      <w:r w:rsidRPr="00D07DEC">
        <w:rPr>
          <w:rFonts w:ascii="Arial" w:hAnsi="Arial" w:cs="Arial"/>
          <w:i/>
          <w:iCs/>
          <w:color w:val="000000"/>
        </w:rPr>
        <w:t xml:space="preserve">P. vivax </w:t>
      </w:r>
      <w:r w:rsidRPr="00D07DEC">
        <w:rPr>
          <w:rFonts w:ascii="Arial" w:hAnsi="Arial" w:cs="Arial"/>
          <w:color w:val="000000"/>
        </w:rPr>
        <w:t xml:space="preserve">parasitaemia </w:t>
      </w:r>
      <w:r w:rsidR="00A45D14">
        <w:rPr>
          <w:rFonts w:ascii="Arial" w:hAnsi="Arial" w:cs="Arial"/>
          <w:color w:val="000000"/>
        </w:rPr>
        <w:t xml:space="preserve">capture thresholds </w:t>
      </w:r>
      <w:r w:rsidRPr="00D07DEC">
        <w:rPr>
          <w:rFonts w:ascii="Arial" w:hAnsi="Arial" w:cs="Arial"/>
          <w:color w:val="000000"/>
        </w:rPr>
        <w:t>for all participants with a fever and/or a recent history of fever at study enrolment</w:t>
      </w:r>
    </w:p>
    <w:p w14:paraId="5B4AD144" w14:textId="0E63BD9C" w:rsidR="00D07DEC" w:rsidRDefault="004E7BDA" w:rsidP="00D07DEC">
      <w:pPr>
        <w:pStyle w:val="ListParagraph"/>
        <w:numPr>
          <w:ilvl w:val="0"/>
          <w:numId w:val="40"/>
        </w:numPr>
        <w:spacing w:after="0" w:line="240" w:lineRule="auto"/>
        <w:rPr>
          <w:rFonts w:ascii="Arial" w:hAnsi="Arial" w:cs="Arial"/>
          <w:color w:val="000000"/>
        </w:rPr>
      </w:pPr>
      <w:r w:rsidRPr="00D07DEC">
        <w:rPr>
          <w:rFonts w:ascii="Arial" w:hAnsi="Arial" w:cs="Arial"/>
          <w:color w:val="000000"/>
        </w:rPr>
        <w:t xml:space="preserve">The </w:t>
      </w:r>
      <w:r w:rsidRPr="00D07DEC">
        <w:rPr>
          <w:rFonts w:ascii="Arial" w:hAnsi="Arial" w:cs="Arial"/>
          <w:i/>
          <w:iCs/>
          <w:color w:val="000000"/>
        </w:rPr>
        <w:t xml:space="preserve">P. vivax </w:t>
      </w:r>
      <w:r w:rsidRPr="00D07DEC">
        <w:rPr>
          <w:rFonts w:ascii="Arial" w:hAnsi="Arial" w:cs="Arial"/>
          <w:color w:val="000000"/>
        </w:rPr>
        <w:t xml:space="preserve">parasitaemia </w:t>
      </w:r>
      <w:r w:rsidR="00A45D14">
        <w:rPr>
          <w:rFonts w:ascii="Arial" w:hAnsi="Arial" w:cs="Arial"/>
          <w:color w:val="000000"/>
        </w:rPr>
        <w:t xml:space="preserve">capture thresholds </w:t>
      </w:r>
      <w:r w:rsidRPr="00D07DEC">
        <w:rPr>
          <w:rFonts w:ascii="Arial" w:hAnsi="Arial" w:cs="Arial"/>
          <w:color w:val="000000"/>
        </w:rPr>
        <w:t xml:space="preserve">for all participants with a fever and/or a recent history of fever at </w:t>
      </w:r>
      <w:r w:rsidR="00A45D14">
        <w:rPr>
          <w:rFonts w:ascii="Arial" w:hAnsi="Arial" w:cs="Arial"/>
          <w:color w:val="000000"/>
        </w:rPr>
        <w:t xml:space="preserve">first </w:t>
      </w:r>
      <w:r w:rsidRPr="00D07DEC">
        <w:rPr>
          <w:rFonts w:ascii="Arial" w:hAnsi="Arial" w:cs="Arial"/>
          <w:color w:val="000000"/>
        </w:rPr>
        <w:t>recurrence</w:t>
      </w:r>
    </w:p>
    <w:p w14:paraId="1D39E95C" w14:textId="586155C3" w:rsidR="00D07DEC" w:rsidRPr="00D07DEC" w:rsidRDefault="004E7BDA" w:rsidP="00D07DEC">
      <w:pPr>
        <w:pStyle w:val="ListParagraph"/>
        <w:numPr>
          <w:ilvl w:val="0"/>
          <w:numId w:val="40"/>
        </w:numPr>
        <w:spacing w:after="0" w:line="240" w:lineRule="auto"/>
        <w:rPr>
          <w:rFonts w:ascii="Arial" w:hAnsi="Arial" w:cs="Arial"/>
          <w:color w:val="000000"/>
        </w:rPr>
      </w:pPr>
      <w:r w:rsidRPr="00D07DEC">
        <w:rPr>
          <w:rFonts w:ascii="Arial" w:hAnsi="Arial" w:cs="Arial"/>
          <w:bCs/>
        </w:rPr>
        <w:t xml:space="preserve">The pyrogenic density of </w:t>
      </w:r>
      <w:r w:rsidRPr="00D07DEC">
        <w:rPr>
          <w:rFonts w:ascii="Arial" w:hAnsi="Arial" w:cs="Arial"/>
          <w:bCs/>
          <w:i/>
          <w:iCs/>
        </w:rPr>
        <w:t>P. vivax</w:t>
      </w:r>
      <w:r w:rsidRPr="00D07DEC">
        <w:rPr>
          <w:rFonts w:ascii="Arial" w:hAnsi="Arial" w:cs="Arial"/>
          <w:bCs/>
        </w:rPr>
        <w:t xml:space="preserve"> </w:t>
      </w:r>
      <w:r w:rsidR="00A45D14">
        <w:rPr>
          <w:rFonts w:ascii="Arial" w:hAnsi="Arial" w:cs="Arial"/>
          <w:bCs/>
        </w:rPr>
        <w:t>at first recurrence</w:t>
      </w:r>
    </w:p>
    <w:p w14:paraId="48FC17F6" w14:textId="201D58D2" w:rsidR="004E7BDA" w:rsidRPr="00D07DEC" w:rsidRDefault="004E7BDA" w:rsidP="00D07DEC">
      <w:pPr>
        <w:pStyle w:val="ListParagraph"/>
        <w:numPr>
          <w:ilvl w:val="0"/>
          <w:numId w:val="40"/>
        </w:numPr>
        <w:spacing w:after="0" w:line="240" w:lineRule="auto"/>
        <w:rPr>
          <w:rFonts w:ascii="Arial" w:hAnsi="Arial" w:cs="Arial"/>
          <w:color w:val="000000"/>
        </w:rPr>
      </w:pPr>
      <w:r w:rsidRPr="00D07DEC">
        <w:rPr>
          <w:rFonts w:ascii="Arial" w:hAnsi="Arial" w:cs="Arial"/>
        </w:rPr>
        <w:t xml:space="preserve">Multivariable logistic regression analysis to identify variables of interest predictive for fever and/or a recent history of fever at </w:t>
      </w:r>
      <w:r w:rsidR="00A45D14">
        <w:rPr>
          <w:rFonts w:ascii="Arial" w:hAnsi="Arial" w:cs="Arial"/>
        </w:rPr>
        <w:t xml:space="preserve">first </w:t>
      </w:r>
      <w:r w:rsidRPr="00D07DEC">
        <w:rPr>
          <w:rFonts w:ascii="Arial" w:hAnsi="Arial" w:cs="Arial"/>
        </w:rPr>
        <w:t>recurrence</w:t>
      </w:r>
    </w:p>
    <w:p w14:paraId="7E91ACA6" w14:textId="7A1787D1" w:rsidR="003D7C0D" w:rsidRPr="004E7BDA" w:rsidRDefault="003D7C0D" w:rsidP="003D7C0D">
      <w:pPr>
        <w:pStyle w:val="Default"/>
        <w:rPr>
          <w:rFonts w:ascii="Arial" w:hAnsi="Arial" w:cs="Arial"/>
          <w:color w:val="auto"/>
          <w:sz w:val="22"/>
          <w:szCs w:val="22"/>
        </w:rPr>
      </w:pPr>
    </w:p>
    <w:p w14:paraId="48B9FB0D" w14:textId="77777777" w:rsidR="007571F7" w:rsidRPr="003D7C0D" w:rsidRDefault="007571F7" w:rsidP="00157EE5">
      <w:pPr>
        <w:spacing w:after="0"/>
        <w:rPr>
          <w:rFonts w:ascii="Arial" w:hAnsi="Arial" w:cs="Arial"/>
          <w:b/>
          <w:color w:val="0070C0"/>
        </w:rPr>
      </w:pPr>
    </w:p>
    <w:p w14:paraId="26E259D4" w14:textId="77777777" w:rsidR="005F05CE" w:rsidRDefault="005F05CE">
      <w:pPr>
        <w:rPr>
          <w:rFonts w:ascii="Arial" w:hAnsi="Arial" w:cs="Arial"/>
          <w:b/>
          <w:color w:val="0070C0"/>
          <w:sz w:val="28"/>
          <w:szCs w:val="28"/>
        </w:rPr>
      </w:pPr>
      <w:r>
        <w:rPr>
          <w:rFonts w:ascii="Arial" w:hAnsi="Arial" w:cs="Arial"/>
          <w:b/>
          <w:color w:val="0070C0"/>
          <w:sz w:val="28"/>
          <w:szCs w:val="28"/>
        </w:rPr>
        <w:br w:type="page"/>
      </w:r>
    </w:p>
    <w:p w14:paraId="231218B2" w14:textId="704F2243" w:rsidR="00157EE5" w:rsidRPr="0055712F" w:rsidRDefault="00157EE5" w:rsidP="00157EE5">
      <w:pPr>
        <w:spacing w:after="0"/>
        <w:rPr>
          <w:rFonts w:ascii="Arial" w:hAnsi="Arial" w:cs="Arial"/>
          <w:b/>
          <w:color w:val="0070C0"/>
          <w:sz w:val="28"/>
          <w:szCs w:val="28"/>
        </w:rPr>
      </w:pPr>
      <w:r>
        <w:rPr>
          <w:rFonts w:ascii="Arial" w:hAnsi="Arial" w:cs="Arial"/>
          <w:b/>
          <w:color w:val="0070C0"/>
          <w:sz w:val="28"/>
          <w:szCs w:val="28"/>
        </w:rPr>
        <w:lastRenderedPageBreak/>
        <w:t>7</w:t>
      </w:r>
      <w:r w:rsidRPr="006C273E">
        <w:rPr>
          <w:rFonts w:ascii="Arial" w:hAnsi="Arial" w:cs="Arial"/>
          <w:b/>
          <w:color w:val="0070C0"/>
          <w:sz w:val="28"/>
          <w:szCs w:val="28"/>
        </w:rPr>
        <w:t>. Tools</w:t>
      </w:r>
    </w:p>
    <w:p w14:paraId="084A37C3" w14:textId="77777777" w:rsidR="00157EE5" w:rsidRDefault="00157EE5" w:rsidP="00157EE5">
      <w:pPr>
        <w:spacing w:after="0"/>
        <w:rPr>
          <w:rFonts w:ascii="Arial" w:hAnsi="Arial" w:cs="Arial"/>
          <w:sz w:val="24"/>
          <w:szCs w:val="24"/>
        </w:rPr>
      </w:pPr>
    </w:p>
    <w:p w14:paraId="0AC2A301" w14:textId="4FF973F7" w:rsidR="00157EE5" w:rsidRDefault="00157EE5" w:rsidP="00157EE5">
      <w:pPr>
        <w:spacing w:after="0"/>
        <w:rPr>
          <w:rFonts w:ascii="Arial" w:hAnsi="Arial" w:cs="Arial"/>
        </w:rPr>
      </w:pPr>
      <w:r w:rsidRPr="002A77A2">
        <w:rPr>
          <w:rFonts w:ascii="Arial" w:hAnsi="Arial" w:cs="Arial"/>
        </w:rPr>
        <w:t>All statistical analyses will be carried out using S</w:t>
      </w:r>
      <w:r>
        <w:rPr>
          <w:rFonts w:ascii="Arial" w:hAnsi="Arial" w:cs="Arial"/>
        </w:rPr>
        <w:t xml:space="preserve">tata </w:t>
      </w:r>
      <w:r w:rsidRPr="002A77A2">
        <w:rPr>
          <w:rFonts w:ascii="Arial" w:hAnsi="Arial" w:cs="Arial"/>
        </w:rPr>
        <w:t>version 1</w:t>
      </w:r>
      <w:r w:rsidR="00121CA4">
        <w:rPr>
          <w:rFonts w:ascii="Arial" w:hAnsi="Arial" w:cs="Arial"/>
        </w:rPr>
        <w:t>7</w:t>
      </w:r>
      <w:r w:rsidRPr="002A77A2">
        <w:rPr>
          <w:rFonts w:ascii="Arial" w:hAnsi="Arial" w:cs="Arial"/>
        </w:rPr>
        <w:t>.0. However, when equivalent statistical methods are applied, changing the use of statistical software does not require amendment of this SAP.</w:t>
      </w:r>
    </w:p>
    <w:p w14:paraId="67F409DE" w14:textId="549CECA9" w:rsidR="00157EE5" w:rsidRDefault="00157EE5" w:rsidP="00157EE5">
      <w:pPr>
        <w:spacing w:after="0"/>
        <w:rPr>
          <w:rFonts w:ascii="Arial" w:hAnsi="Arial" w:cs="Arial"/>
        </w:rPr>
      </w:pPr>
    </w:p>
    <w:p w14:paraId="232FF6A6" w14:textId="0215FD53" w:rsidR="005F05CE" w:rsidRDefault="005F05CE" w:rsidP="00157EE5">
      <w:pPr>
        <w:spacing w:after="0"/>
        <w:rPr>
          <w:rFonts w:ascii="Arial" w:hAnsi="Arial" w:cs="Arial"/>
        </w:rPr>
      </w:pPr>
    </w:p>
    <w:p w14:paraId="20A4036A" w14:textId="77777777" w:rsidR="005F05CE" w:rsidRDefault="005F05CE" w:rsidP="00157EE5">
      <w:pPr>
        <w:spacing w:after="0"/>
        <w:rPr>
          <w:rFonts w:ascii="Arial" w:hAnsi="Arial" w:cs="Arial"/>
        </w:rPr>
      </w:pPr>
    </w:p>
    <w:p w14:paraId="22A64F95" w14:textId="77777777" w:rsidR="002832C2" w:rsidRPr="005F05CE" w:rsidRDefault="002832C2" w:rsidP="00157EE5">
      <w:pPr>
        <w:spacing w:after="0"/>
        <w:rPr>
          <w:rFonts w:ascii="Arial" w:hAnsi="Arial" w:cs="Arial"/>
          <w:b/>
          <w:color w:val="0070C0"/>
        </w:rPr>
      </w:pPr>
    </w:p>
    <w:p w14:paraId="4D9564F1" w14:textId="2F2E6A07" w:rsidR="00157EE5" w:rsidRPr="00CA6F73" w:rsidRDefault="00157EE5" w:rsidP="00157EE5">
      <w:pPr>
        <w:spacing w:after="0"/>
        <w:rPr>
          <w:rFonts w:ascii="Arial" w:hAnsi="Arial" w:cs="Arial"/>
          <w:b/>
          <w:color w:val="0070C0"/>
          <w:sz w:val="28"/>
          <w:szCs w:val="28"/>
        </w:rPr>
      </w:pPr>
      <w:r>
        <w:rPr>
          <w:rFonts w:ascii="Arial" w:hAnsi="Arial" w:cs="Arial"/>
          <w:b/>
          <w:color w:val="0070C0"/>
          <w:sz w:val="28"/>
          <w:szCs w:val="28"/>
        </w:rPr>
        <w:t>8</w:t>
      </w:r>
      <w:r w:rsidRPr="006C273E">
        <w:rPr>
          <w:rFonts w:ascii="Arial" w:hAnsi="Arial" w:cs="Arial"/>
          <w:b/>
          <w:color w:val="0070C0"/>
          <w:sz w:val="28"/>
          <w:szCs w:val="28"/>
        </w:rPr>
        <w:t>. Study Group Governance, Management, Co-ordination, and Publication Policy</w:t>
      </w:r>
    </w:p>
    <w:p w14:paraId="774E51E8" w14:textId="77777777" w:rsidR="00157EE5" w:rsidRDefault="00157EE5" w:rsidP="00157EE5">
      <w:pPr>
        <w:widowControl w:val="0"/>
        <w:autoSpaceDE w:val="0"/>
        <w:autoSpaceDN w:val="0"/>
        <w:adjustRightInd w:val="0"/>
        <w:spacing w:after="0" w:line="240" w:lineRule="auto"/>
        <w:rPr>
          <w:rFonts w:ascii="Arial" w:hAnsi="Arial" w:cs="Arial"/>
          <w:color w:val="000000" w:themeColor="text1"/>
        </w:rPr>
      </w:pPr>
    </w:p>
    <w:p w14:paraId="12A921C0" w14:textId="4F5603B3" w:rsidR="00157EE5" w:rsidRDefault="00157EE5" w:rsidP="00157EE5">
      <w:pPr>
        <w:widowControl w:val="0"/>
        <w:autoSpaceDE w:val="0"/>
        <w:autoSpaceDN w:val="0"/>
        <w:adjustRightInd w:val="0"/>
        <w:spacing w:after="0" w:line="240" w:lineRule="auto"/>
        <w:rPr>
          <w:rFonts w:ascii="Arial" w:hAnsi="Arial" w:cs="Arial"/>
          <w:color w:val="000000" w:themeColor="text1"/>
        </w:rPr>
      </w:pPr>
      <w:r w:rsidRPr="00D43FA4">
        <w:rPr>
          <w:rFonts w:ascii="Arial" w:hAnsi="Arial" w:cs="Arial"/>
          <w:color w:val="000000" w:themeColor="text1"/>
        </w:rPr>
        <w:t xml:space="preserve">The </w:t>
      </w:r>
      <w:r>
        <w:rPr>
          <w:rFonts w:ascii="Arial" w:hAnsi="Arial" w:cs="Arial"/>
          <w:i/>
          <w:color w:val="000000" w:themeColor="text1"/>
        </w:rPr>
        <w:t>P</w:t>
      </w:r>
      <w:r w:rsidR="00392321">
        <w:rPr>
          <w:rFonts w:ascii="Arial" w:hAnsi="Arial" w:cs="Arial"/>
          <w:i/>
          <w:color w:val="000000" w:themeColor="text1"/>
        </w:rPr>
        <w:t>.</w:t>
      </w:r>
      <w:r>
        <w:rPr>
          <w:rFonts w:ascii="Arial" w:hAnsi="Arial" w:cs="Arial"/>
          <w:i/>
          <w:color w:val="000000" w:themeColor="text1"/>
        </w:rPr>
        <w:t xml:space="preserve"> vivax </w:t>
      </w:r>
      <w:r w:rsidR="00392321">
        <w:rPr>
          <w:rFonts w:ascii="Arial" w:hAnsi="Arial" w:cs="Arial"/>
          <w:color w:val="000000" w:themeColor="text1"/>
        </w:rPr>
        <w:t xml:space="preserve">Fever </w:t>
      </w:r>
      <w:r w:rsidRPr="00D43FA4">
        <w:rPr>
          <w:rFonts w:ascii="Arial" w:hAnsi="Arial" w:cs="Arial"/>
          <w:color w:val="000000" w:themeColor="text1"/>
        </w:rPr>
        <w:t>Study Group comprises participating investigators who contribute relevant data sets to the pooled analysis. Data sets will remain the property of the investigator and will not be shared without their consent.</w:t>
      </w:r>
    </w:p>
    <w:p w14:paraId="7D808EF3" w14:textId="77777777" w:rsidR="00157EE5" w:rsidRPr="00D43FA4" w:rsidRDefault="00157EE5" w:rsidP="00157EE5">
      <w:pPr>
        <w:widowControl w:val="0"/>
        <w:autoSpaceDE w:val="0"/>
        <w:autoSpaceDN w:val="0"/>
        <w:adjustRightInd w:val="0"/>
        <w:spacing w:after="0" w:line="240" w:lineRule="auto"/>
        <w:rPr>
          <w:rFonts w:ascii="Arial" w:hAnsi="Arial" w:cs="Arial"/>
          <w:color w:val="000000" w:themeColor="text1"/>
        </w:rPr>
      </w:pPr>
    </w:p>
    <w:p w14:paraId="47F8F611" w14:textId="3B851838" w:rsidR="00157EE5" w:rsidRDefault="00157EE5" w:rsidP="00157EE5">
      <w:pPr>
        <w:widowControl w:val="0"/>
        <w:autoSpaceDE w:val="0"/>
        <w:autoSpaceDN w:val="0"/>
        <w:adjustRightInd w:val="0"/>
        <w:spacing w:after="0" w:line="240" w:lineRule="auto"/>
        <w:rPr>
          <w:rFonts w:ascii="Arial" w:hAnsi="Arial" w:cs="Arial"/>
          <w:color w:val="000000" w:themeColor="text1"/>
        </w:rPr>
      </w:pPr>
      <w:r w:rsidRPr="00D43FA4">
        <w:rPr>
          <w:rFonts w:ascii="Arial" w:hAnsi="Arial" w:cs="Arial"/>
          <w:color w:val="000000" w:themeColor="text1"/>
        </w:rPr>
        <w:t xml:space="preserve">The Study Group will assign a Writing Committee to coordinate activities including data analysis and drafting of publications and reports for complete group review. The Writing Committee will comprise Emily Groves, </w:t>
      </w:r>
      <w:r w:rsidR="00A264F0" w:rsidRPr="00D43FA4">
        <w:rPr>
          <w:rFonts w:ascii="Arial" w:hAnsi="Arial" w:cs="Arial"/>
          <w:color w:val="000000" w:themeColor="text1"/>
        </w:rPr>
        <w:t>Julie Simpson</w:t>
      </w:r>
      <w:r w:rsidRPr="00D43FA4">
        <w:rPr>
          <w:rFonts w:ascii="Arial" w:hAnsi="Arial" w:cs="Arial"/>
          <w:color w:val="000000" w:themeColor="text1"/>
        </w:rPr>
        <w:t>, Ric Price</w:t>
      </w:r>
      <w:r>
        <w:rPr>
          <w:rFonts w:ascii="Arial" w:hAnsi="Arial" w:cs="Arial"/>
          <w:color w:val="000000" w:themeColor="text1"/>
        </w:rPr>
        <w:t xml:space="preserve">, </w:t>
      </w:r>
      <w:r w:rsidR="00A264F0" w:rsidRPr="00D43FA4">
        <w:rPr>
          <w:rFonts w:ascii="Arial" w:hAnsi="Arial" w:cs="Arial"/>
          <w:color w:val="000000" w:themeColor="text1"/>
        </w:rPr>
        <w:t>Rob Commons</w:t>
      </w:r>
      <w:r w:rsidR="00A264F0">
        <w:rPr>
          <w:rFonts w:ascii="Arial" w:hAnsi="Arial" w:cs="Arial"/>
          <w:color w:val="000000" w:themeColor="text1"/>
        </w:rPr>
        <w:t xml:space="preserve">, </w:t>
      </w:r>
      <w:r>
        <w:rPr>
          <w:rFonts w:ascii="Arial" w:hAnsi="Arial" w:cs="Arial"/>
          <w:color w:val="000000" w:themeColor="text1"/>
        </w:rPr>
        <w:t xml:space="preserve">and any other participating investigators </w:t>
      </w:r>
      <w:r w:rsidRPr="00D43FA4">
        <w:rPr>
          <w:rFonts w:ascii="Arial" w:hAnsi="Arial" w:cs="Arial"/>
          <w:color w:val="000000" w:themeColor="text1"/>
        </w:rPr>
        <w:t>interested in undertaking the data analysis and preparation of the manuscript.</w:t>
      </w:r>
    </w:p>
    <w:p w14:paraId="3504B255" w14:textId="77777777" w:rsidR="00157EE5" w:rsidRDefault="00157EE5" w:rsidP="00157EE5">
      <w:pPr>
        <w:widowControl w:val="0"/>
        <w:autoSpaceDE w:val="0"/>
        <w:autoSpaceDN w:val="0"/>
        <w:adjustRightInd w:val="0"/>
        <w:spacing w:after="0" w:line="240" w:lineRule="auto"/>
        <w:rPr>
          <w:rFonts w:ascii="Arial" w:hAnsi="Arial" w:cs="Arial"/>
          <w:color w:val="000000" w:themeColor="text1"/>
        </w:rPr>
      </w:pPr>
    </w:p>
    <w:p w14:paraId="103A3DA6" w14:textId="3DAC26C5" w:rsidR="00157EE5" w:rsidRDefault="00157EE5" w:rsidP="00157EE5">
      <w:pPr>
        <w:widowControl w:val="0"/>
        <w:autoSpaceDE w:val="0"/>
        <w:autoSpaceDN w:val="0"/>
        <w:adjustRightInd w:val="0"/>
        <w:spacing w:after="0" w:line="240" w:lineRule="auto"/>
        <w:rPr>
          <w:rFonts w:ascii="Arial" w:hAnsi="Arial" w:cs="Arial"/>
          <w:b/>
          <w:color w:val="0070C0"/>
          <w:sz w:val="28"/>
          <w:szCs w:val="28"/>
        </w:rPr>
      </w:pPr>
      <w:r w:rsidRPr="00B70FFB">
        <w:rPr>
          <w:rFonts w:ascii="Arial" w:hAnsi="Arial" w:cs="Arial"/>
        </w:rPr>
        <w:t xml:space="preserve">Participating investigators will be recognised in publication as contributors under the banner of the </w:t>
      </w:r>
      <w:r w:rsidRPr="00B02C9A">
        <w:rPr>
          <w:rFonts w:ascii="Arial" w:hAnsi="Arial" w:cs="Arial"/>
          <w:b/>
          <w:i/>
        </w:rPr>
        <w:t>P</w:t>
      </w:r>
      <w:r w:rsidR="00392321">
        <w:rPr>
          <w:rFonts w:ascii="Arial" w:hAnsi="Arial" w:cs="Arial"/>
          <w:b/>
          <w:i/>
        </w:rPr>
        <w:t>.</w:t>
      </w:r>
      <w:r w:rsidRPr="00B02C9A">
        <w:rPr>
          <w:rFonts w:ascii="Arial" w:hAnsi="Arial" w:cs="Arial"/>
          <w:b/>
          <w:i/>
        </w:rPr>
        <w:t xml:space="preserve"> vivax</w:t>
      </w:r>
      <w:r w:rsidRPr="00B70FFB">
        <w:rPr>
          <w:rFonts w:ascii="Arial" w:hAnsi="Arial" w:cs="Arial"/>
          <w:i/>
        </w:rPr>
        <w:t xml:space="preserve"> </w:t>
      </w:r>
      <w:r w:rsidR="00392321">
        <w:rPr>
          <w:rFonts w:ascii="Arial" w:hAnsi="Arial" w:cs="Arial"/>
          <w:b/>
          <w:bCs/>
        </w:rPr>
        <w:t>Fever</w:t>
      </w:r>
      <w:r w:rsidRPr="00B70FFB">
        <w:rPr>
          <w:rFonts w:ascii="Arial" w:hAnsi="Arial" w:cs="Arial"/>
          <w:b/>
          <w:bCs/>
        </w:rPr>
        <w:t xml:space="preserve"> Study Group</w:t>
      </w:r>
      <w:r w:rsidRPr="00B70FFB">
        <w:rPr>
          <w:rFonts w:ascii="Arial" w:hAnsi="Arial" w:cs="Arial"/>
        </w:rPr>
        <w:t xml:space="preserve"> unless they are a member of the Writing Committee, in which case they will be </w:t>
      </w:r>
      <w:r w:rsidRPr="00B70FFB">
        <w:rPr>
          <w:rFonts w:ascii="Arial" w:hAnsi="Arial" w:cs="Arial"/>
          <w:color w:val="000000" w:themeColor="text1"/>
        </w:rPr>
        <w:t xml:space="preserve">recognised in publication as </w:t>
      </w:r>
      <w:r>
        <w:rPr>
          <w:rFonts w:ascii="Arial" w:hAnsi="Arial" w:cs="Arial"/>
          <w:color w:val="000000" w:themeColor="text1"/>
        </w:rPr>
        <w:t xml:space="preserve">named </w:t>
      </w:r>
      <w:r w:rsidRPr="00B70FFB">
        <w:rPr>
          <w:rFonts w:ascii="Arial" w:hAnsi="Arial" w:cs="Arial"/>
          <w:color w:val="000000" w:themeColor="text1"/>
        </w:rPr>
        <w:t xml:space="preserve">authors according to the ICMJE guidelines. </w:t>
      </w:r>
      <w:r w:rsidRPr="00B70FFB">
        <w:rPr>
          <w:rFonts w:ascii="Arial" w:hAnsi="Arial" w:cs="Arial"/>
        </w:rPr>
        <w:t>The results of this study</w:t>
      </w:r>
      <w:r w:rsidRPr="008E687F">
        <w:rPr>
          <w:rFonts w:ascii="Arial" w:hAnsi="Arial" w:cs="Arial"/>
        </w:rPr>
        <w:t xml:space="preserve"> will be published in a peer-reviewed international journal and presented at international </w:t>
      </w:r>
      <w:r>
        <w:rPr>
          <w:rFonts w:ascii="Arial" w:hAnsi="Arial" w:cs="Arial"/>
        </w:rPr>
        <w:t>meetings with a focus on t</w:t>
      </w:r>
      <w:r w:rsidRPr="008E687F">
        <w:rPr>
          <w:rFonts w:ascii="Arial" w:hAnsi="Arial" w:cs="Arial"/>
        </w:rPr>
        <w:t xml:space="preserve">ropical </w:t>
      </w:r>
      <w:r>
        <w:rPr>
          <w:rFonts w:ascii="Arial" w:hAnsi="Arial" w:cs="Arial"/>
        </w:rPr>
        <w:t>m</w:t>
      </w:r>
      <w:r w:rsidRPr="008E687F">
        <w:rPr>
          <w:rFonts w:ascii="Arial" w:hAnsi="Arial" w:cs="Arial"/>
        </w:rPr>
        <w:t xml:space="preserve">edicine or </w:t>
      </w:r>
      <w:r>
        <w:rPr>
          <w:rFonts w:ascii="Arial" w:hAnsi="Arial" w:cs="Arial"/>
        </w:rPr>
        <w:t>m</w:t>
      </w:r>
      <w:r w:rsidRPr="008E687F">
        <w:rPr>
          <w:rFonts w:ascii="Arial" w:hAnsi="Arial" w:cs="Arial"/>
        </w:rPr>
        <w:t>alaria to inform other researchers and policy-makers.</w:t>
      </w:r>
    </w:p>
    <w:p w14:paraId="255BC9D2" w14:textId="77777777" w:rsidR="00157EE5" w:rsidRPr="00177D44" w:rsidRDefault="00157EE5" w:rsidP="00157EE5">
      <w:pPr>
        <w:widowControl w:val="0"/>
        <w:autoSpaceDE w:val="0"/>
        <w:autoSpaceDN w:val="0"/>
        <w:adjustRightInd w:val="0"/>
        <w:spacing w:after="0" w:line="240" w:lineRule="auto"/>
        <w:rPr>
          <w:rFonts w:ascii="Arial" w:hAnsi="Arial" w:cs="Arial"/>
          <w:b/>
          <w:color w:val="0070C0"/>
        </w:rPr>
      </w:pPr>
    </w:p>
    <w:p w14:paraId="4D5A3FD3" w14:textId="4F23BE12" w:rsidR="00157EE5" w:rsidRDefault="00157EE5" w:rsidP="00157EE5">
      <w:pPr>
        <w:widowControl w:val="0"/>
        <w:autoSpaceDE w:val="0"/>
        <w:autoSpaceDN w:val="0"/>
        <w:adjustRightInd w:val="0"/>
        <w:spacing w:after="0" w:line="240" w:lineRule="auto"/>
        <w:rPr>
          <w:rFonts w:ascii="Arial" w:hAnsi="Arial" w:cs="Arial"/>
          <w:b/>
          <w:color w:val="0070C0"/>
        </w:rPr>
      </w:pPr>
    </w:p>
    <w:p w14:paraId="293F8ABD" w14:textId="05BA321B" w:rsidR="005F05CE" w:rsidRDefault="005F05CE" w:rsidP="00157EE5">
      <w:pPr>
        <w:widowControl w:val="0"/>
        <w:autoSpaceDE w:val="0"/>
        <w:autoSpaceDN w:val="0"/>
        <w:adjustRightInd w:val="0"/>
        <w:spacing w:after="0" w:line="240" w:lineRule="auto"/>
        <w:rPr>
          <w:rFonts w:ascii="Arial" w:hAnsi="Arial" w:cs="Arial"/>
          <w:b/>
          <w:color w:val="0070C0"/>
        </w:rPr>
      </w:pPr>
    </w:p>
    <w:p w14:paraId="1B9FF203" w14:textId="77777777" w:rsidR="002832C2" w:rsidRPr="005F05CE" w:rsidRDefault="002832C2" w:rsidP="00157EE5">
      <w:pPr>
        <w:widowControl w:val="0"/>
        <w:autoSpaceDE w:val="0"/>
        <w:autoSpaceDN w:val="0"/>
        <w:adjustRightInd w:val="0"/>
        <w:spacing w:after="0" w:line="240" w:lineRule="auto"/>
        <w:rPr>
          <w:rFonts w:ascii="Arial" w:hAnsi="Arial" w:cs="Arial"/>
          <w:b/>
          <w:color w:val="0070C0"/>
        </w:rPr>
      </w:pPr>
    </w:p>
    <w:p w14:paraId="4780482F" w14:textId="6147D414" w:rsidR="00157EE5" w:rsidRPr="00CA6F73" w:rsidRDefault="00157EE5" w:rsidP="00157EE5">
      <w:pPr>
        <w:widowControl w:val="0"/>
        <w:autoSpaceDE w:val="0"/>
        <w:autoSpaceDN w:val="0"/>
        <w:adjustRightInd w:val="0"/>
        <w:spacing w:after="0" w:line="240" w:lineRule="auto"/>
        <w:rPr>
          <w:rFonts w:ascii="Arial" w:hAnsi="Arial" w:cs="Arial"/>
          <w:color w:val="000000" w:themeColor="text1"/>
        </w:rPr>
      </w:pPr>
      <w:r>
        <w:rPr>
          <w:rFonts w:ascii="Arial" w:hAnsi="Arial" w:cs="Arial"/>
          <w:b/>
          <w:color w:val="0070C0"/>
          <w:sz w:val="28"/>
          <w:szCs w:val="28"/>
        </w:rPr>
        <w:t>9</w:t>
      </w:r>
      <w:r w:rsidRPr="006C273E">
        <w:rPr>
          <w:rFonts w:ascii="Arial" w:hAnsi="Arial" w:cs="Arial"/>
          <w:b/>
          <w:color w:val="0070C0"/>
          <w:sz w:val="28"/>
          <w:szCs w:val="28"/>
        </w:rPr>
        <w:t>. Potential Policy Outcome</w:t>
      </w:r>
    </w:p>
    <w:p w14:paraId="1F5E13F5" w14:textId="77777777" w:rsidR="00157EE5" w:rsidRPr="00177D44" w:rsidRDefault="00157EE5" w:rsidP="00157EE5">
      <w:pPr>
        <w:widowControl w:val="0"/>
        <w:autoSpaceDE w:val="0"/>
        <w:autoSpaceDN w:val="0"/>
        <w:adjustRightInd w:val="0"/>
        <w:spacing w:after="0" w:line="240" w:lineRule="auto"/>
        <w:rPr>
          <w:rFonts w:ascii="Arial" w:hAnsi="Arial" w:cs="Arial"/>
          <w:color w:val="000000" w:themeColor="text1"/>
        </w:rPr>
      </w:pPr>
    </w:p>
    <w:p w14:paraId="19FFEDE4" w14:textId="21E0FB0A" w:rsidR="00177D44" w:rsidRPr="00CF3CFB" w:rsidRDefault="00157EE5" w:rsidP="00CF3CFB">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 xml:space="preserve">The data provided by this analysis will contribute to knowledge of </w:t>
      </w:r>
      <w:r w:rsidRPr="00FA1591">
        <w:rPr>
          <w:rFonts w:ascii="Arial" w:hAnsi="Arial" w:cs="Arial"/>
          <w:i/>
          <w:color w:val="000000" w:themeColor="text1"/>
        </w:rPr>
        <w:t>P. vivax</w:t>
      </w:r>
      <w:r>
        <w:rPr>
          <w:rFonts w:ascii="Arial" w:hAnsi="Arial" w:cs="Arial"/>
          <w:color w:val="000000" w:themeColor="text1"/>
        </w:rPr>
        <w:t xml:space="preserve"> pyrogenic thresholds and will inform the de</w:t>
      </w:r>
      <w:r w:rsidR="00177D44">
        <w:rPr>
          <w:rFonts w:ascii="Arial" w:hAnsi="Arial" w:cs="Arial"/>
          <w:color w:val="000000" w:themeColor="text1"/>
        </w:rPr>
        <w:t xml:space="preserve">velopment and evaluation </w:t>
      </w:r>
      <w:r>
        <w:rPr>
          <w:rFonts w:ascii="Arial" w:hAnsi="Arial" w:cs="Arial"/>
          <w:color w:val="000000" w:themeColor="text1"/>
        </w:rPr>
        <w:t>of diagnostic tests.</w:t>
      </w:r>
    </w:p>
    <w:p w14:paraId="3A3EFB70" w14:textId="77777777" w:rsidR="008B7985" w:rsidRDefault="008B7985">
      <w:pPr>
        <w:rPr>
          <w:rFonts w:ascii="Arial" w:hAnsi="Arial" w:cs="Arial"/>
          <w:b/>
          <w:color w:val="0070C0"/>
          <w:sz w:val="28"/>
          <w:szCs w:val="28"/>
        </w:rPr>
      </w:pPr>
      <w:r>
        <w:rPr>
          <w:rFonts w:ascii="Arial" w:hAnsi="Arial" w:cs="Arial"/>
          <w:b/>
          <w:color w:val="0070C0"/>
          <w:sz w:val="28"/>
          <w:szCs w:val="28"/>
        </w:rPr>
        <w:br w:type="page"/>
      </w:r>
    </w:p>
    <w:p w14:paraId="10F2F77E" w14:textId="418F871B" w:rsidR="00157EE5" w:rsidRPr="000F4659" w:rsidRDefault="00157EE5" w:rsidP="00157EE5">
      <w:pPr>
        <w:spacing w:after="0"/>
        <w:rPr>
          <w:rFonts w:ascii="Arial" w:hAnsi="Arial" w:cs="Arial"/>
        </w:rPr>
      </w:pPr>
      <w:r w:rsidRPr="00E13009">
        <w:rPr>
          <w:rFonts w:ascii="Arial" w:hAnsi="Arial" w:cs="Arial"/>
          <w:b/>
          <w:color w:val="0070C0"/>
          <w:sz w:val="28"/>
          <w:szCs w:val="28"/>
        </w:rPr>
        <w:lastRenderedPageBreak/>
        <w:t>1</w:t>
      </w:r>
      <w:r>
        <w:rPr>
          <w:rFonts w:ascii="Arial" w:hAnsi="Arial" w:cs="Arial"/>
          <w:b/>
          <w:color w:val="0070C0"/>
          <w:sz w:val="28"/>
          <w:szCs w:val="28"/>
        </w:rPr>
        <w:t>0</w:t>
      </w:r>
      <w:r w:rsidRPr="00E13009">
        <w:rPr>
          <w:rFonts w:ascii="Arial" w:hAnsi="Arial" w:cs="Arial"/>
          <w:b/>
          <w:color w:val="0070C0"/>
          <w:sz w:val="28"/>
          <w:szCs w:val="28"/>
        </w:rPr>
        <w:t>. References</w:t>
      </w:r>
    </w:p>
    <w:p w14:paraId="540D67ED" w14:textId="77777777" w:rsidR="00157EE5" w:rsidRPr="00F07A63" w:rsidRDefault="00157EE5" w:rsidP="00157EE5">
      <w:pPr>
        <w:spacing w:after="0" w:line="240" w:lineRule="auto"/>
        <w:rPr>
          <w:rFonts w:ascii="Arial" w:hAnsi="Arial" w:cs="Arial"/>
        </w:rPr>
      </w:pPr>
    </w:p>
    <w:p w14:paraId="2158D00F" w14:textId="77777777" w:rsidR="00157EE5" w:rsidRPr="00F07A63" w:rsidRDefault="00157EE5" w:rsidP="00157EE5">
      <w:pPr>
        <w:pStyle w:val="ListParagraph"/>
        <w:numPr>
          <w:ilvl w:val="0"/>
          <w:numId w:val="2"/>
        </w:numPr>
        <w:spacing w:after="0" w:line="240" w:lineRule="auto"/>
        <w:rPr>
          <w:rFonts w:ascii="Arial" w:hAnsi="Arial" w:cs="Arial"/>
        </w:rPr>
      </w:pPr>
      <w:r w:rsidRPr="00F07A63">
        <w:rPr>
          <w:rFonts w:ascii="Arial" w:hAnsi="Arial" w:cs="Arial"/>
        </w:rPr>
        <w:t>World malaria report 2020: 20 years of global progress and challenges. Geneva: World Health Organization; 2020. Licence: CC BY-NC-SA 3.0 IGO</w:t>
      </w:r>
    </w:p>
    <w:p w14:paraId="67328492" w14:textId="77777777" w:rsidR="00157EE5" w:rsidRPr="0087135B" w:rsidRDefault="00157EE5" w:rsidP="00157EE5">
      <w:pPr>
        <w:pStyle w:val="ListParagraph"/>
        <w:numPr>
          <w:ilvl w:val="0"/>
          <w:numId w:val="2"/>
        </w:numPr>
        <w:spacing w:after="0" w:line="240" w:lineRule="auto"/>
        <w:rPr>
          <w:rFonts w:ascii="Arial" w:hAnsi="Arial" w:cs="Arial"/>
        </w:rPr>
      </w:pPr>
      <w:r w:rsidRPr="005C7C8A">
        <w:rPr>
          <w:rFonts w:ascii="Arial" w:hAnsi="Arial" w:cs="Arial"/>
          <w:lang w:val="fr-CH"/>
        </w:rPr>
        <w:t xml:space="preserve">Battle, K. E. </w:t>
      </w:r>
      <w:r w:rsidRPr="005C7C8A">
        <w:rPr>
          <w:rFonts w:ascii="Arial" w:hAnsi="Arial" w:cs="Arial"/>
          <w:i/>
          <w:lang w:val="fr-CH"/>
        </w:rPr>
        <w:t>et al.</w:t>
      </w:r>
      <w:r w:rsidRPr="005C7C8A">
        <w:rPr>
          <w:rFonts w:ascii="Arial" w:hAnsi="Arial" w:cs="Arial"/>
          <w:lang w:val="fr-CH"/>
        </w:rPr>
        <w:t xml:space="preserve"> </w:t>
      </w:r>
      <w:r w:rsidRPr="00F07A63">
        <w:rPr>
          <w:rFonts w:ascii="Arial" w:hAnsi="Arial" w:cs="Arial"/>
        </w:rPr>
        <w:t xml:space="preserve">(2019) Mapping the global endemicity and clinical burden of </w:t>
      </w:r>
      <w:r w:rsidRPr="00F07A63">
        <w:rPr>
          <w:rFonts w:ascii="Arial" w:hAnsi="Arial" w:cs="Arial"/>
          <w:i/>
        </w:rPr>
        <w:t>Plasmodium vivax</w:t>
      </w:r>
      <w:r w:rsidRPr="00F07A63">
        <w:rPr>
          <w:rFonts w:ascii="Arial" w:hAnsi="Arial" w:cs="Arial"/>
        </w:rPr>
        <w:t xml:space="preserve">, 2000-2017: a spatial and temporal modelling study. </w:t>
      </w:r>
      <w:r w:rsidRPr="00F07A63">
        <w:rPr>
          <w:rFonts w:ascii="Arial" w:hAnsi="Arial" w:cs="Arial"/>
          <w:i/>
        </w:rPr>
        <w:t>Lancet</w:t>
      </w:r>
      <w:r w:rsidRPr="00F07A63">
        <w:rPr>
          <w:rFonts w:ascii="Arial" w:hAnsi="Arial" w:cs="Arial"/>
        </w:rPr>
        <w:t xml:space="preserve"> 394, </w:t>
      </w:r>
      <w:r w:rsidRPr="0087135B">
        <w:rPr>
          <w:rFonts w:ascii="Arial" w:hAnsi="Arial" w:cs="Arial"/>
        </w:rPr>
        <w:t>332-343</w:t>
      </w:r>
    </w:p>
    <w:p w14:paraId="1814CCED" w14:textId="77777777" w:rsidR="00157EE5" w:rsidRPr="0087135B" w:rsidRDefault="00157EE5" w:rsidP="00157EE5">
      <w:pPr>
        <w:pStyle w:val="ListParagraph"/>
        <w:numPr>
          <w:ilvl w:val="0"/>
          <w:numId w:val="2"/>
        </w:numPr>
        <w:spacing w:after="0" w:line="240" w:lineRule="auto"/>
        <w:rPr>
          <w:rFonts w:ascii="Arial" w:hAnsi="Arial" w:cs="Arial"/>
        </w:rPr>
      </w:pPr>
      <w:r w:rsidRPr="0087135B">
        <w:rPr>
          <w:rFonts w:ascii="Arial" w:hAnsi="Arial" w:cs="Arial"/>
          <w:shd w:val="clear" w:color="auto" w:fill="FFFFFF"/>
        </w:rPr>
        <w:t>Douglas NM, Lampah DA, Kenangalem E, Simpson JA, Poespoprodjo JR, Sugiarto P, Anstey NM, Price RN: Major burden of severe anemia from non-falciparum malaria species in Southern Papua: a hospital-based surveillance study. PLoS Med. 2013, 10: e1001575-10.1371/journal.pmed.1001575</w:t>
      </w:r>
    </w:p>
    <w:p w14:paraId="71066B8C" w14:textId="1704EB6A" w:rsidR="00157EE5" w:rsidRPr="00D335F2" w:rsidRDefault="00157EE5" w:rsidP="00157EE5">
      <w:pPr>
        <w:pStyle w:val="ListParagraph"/>
        <w:numPr>
          <w:ilvl w:val="0"/>
          <w:numId w:val="2"/>
        </w:numPr>
        <w:spacing w:after="0" w:line="240" w:lineRule="auto"/>
        <w:rPr>
          <w:rStyle w:val="Hyperlink"/>
          <w:rFonts w:ascii="Arial" w:hAnsi="Arial" w:cs="Arial"/>
          <w:color w:val="auto"/>
          <w:u w:val="none"/>
        </w:rPr>
      </w:pPr>
      <w:r w:rsidRPr="005C7C8A">
        <w:rPr>
          <w:rFonts w:ascii="Arial" w:hAnsi="Arial" w:cs="Arial"/>
          <w:shd w:val="clear" w:color="auto" w:fill="FFFFFF"/>
          <w:lang w:val="fr-CH"/>
        </w:rPr>
        <w:t>Dini, S., Douglas, N.M., Poespoprodjo, J.R. </w:t>
      </w:r>
      <w:r w:rsidRPr="005C7C8A">
        <w:rPr>
          <w:rFonts w:ascii="Arial" w:hAnsi="Arial" w:cs="Arial"/>
          <w:i/>
          <w:iCs/>
          <w:shd w:val="clear" w:color="auto" w:fill="FFFFFF"/>
          <w:lang w:val="fr-CH"/>
        </w:rPr>
        <w:t>et al.</w:t>
      </w:r>
      <w:r w:rsidRPr="005C7C8A">
        <w:rPr>
          <w:rFonts w:ascii="Arial" w:hAnsi="Arial" w:cs="Arial"/>
          <w:shd w:val="clear" w:color="auto" w:fill="FFFFFF"/>
          <w:lang w:val="fr-CH"/>
        </w:rPr>
        <w:t> </w:t>
      </w:r>
      <w:r w:rsidRPr="0087135B">
        <w:rPr>
          <w:rFonts w:ascii="Arial" w:hAnsi="Arial" w:cs="Arial"/>
          <w:shd w:val="clear" w:color="auto" w:fill="FFFFFF"/>
        </w:rPr>
        <w:t>The risk of morbidity and mortality following recurrent malaria in Papua, Indonesia: a retrospective cohort study. </w:t>
      </w:r>
      <w:r w:rsidRPr="0087135B">
        <w:rPr>
          <w:rFonts w:ascii="Arial" w:hAnsi="Arial" w:cs="Arial"/>
          <w:i/>
          <w:iCs/>
          <w:shd w:val="clear" w:color="auto" w:fill="FFFFFF"/>
        </w:rPr>
        <w:t>BMC Med</w:t>
      </w:r>
      <w:r w:rsidRPr="0087135B">
        <w:rPr>
          <w:rFonts w:ascii="Arial" w:hAnsi="Arial" w:cs="Arial"/>
          <w:shd w:val="clear" w:color="auto" w:fill="FFFFFF"/>
        </w:rPr>
        <w:t xml:space="preserve"> 18, 28 (2020). </w:t>
      </w:r>
      <w:hyperlink r:id="rId11" w:history="1">
        <w:r w:rsidRPr="00D33DED">
          <w:rPr>
            <w:rStyle w:val="Hyperlink"/>
            <w:rFonts w:ascii="Arial" w:hAnsi="Arial" w:cs="Arial"/>
            <w:shd w:val="clear" w:color="auto" w:fill="FFFFFF"/>
          </w:rPr>
          <w:t>https://doi.org/10.1186/s12916-020-1497-0</w:t>
        </w:r>
      </w:hyperlink>
    </w:p>
    <w:p w14:paraId="32C7F057" w14:textId="0CA4E320" w:rsidR="00D335F2" w:rsidRPr="00511CAB" w:rsidRDefault="00D335F2" w:rsidP="00157EE5">
      <w:pPr>
        <w:pStyle w:val="ListParagraph"/>
        <w:numPr>
          <w:ilvl w:val="0"/>
          <w:numId w:val="2"/>
        </w:numPr>
        <w:spacing w:after="0" w:line="240" w:lineRule="auto"/>
        <w:rPr>
          <w:rFonts w:ascii="Arial" w:hAnsi="Arial" w:cs="Arial"/>
        </w:rPr>
      </w:pPr>
      <w:r w:rsidRPr="00D335F2">
        <w:rPr>
          <w:rFonts w:ascii="Arial" w:hAnsi="Arial" w:cs="Arial"/>
          <w:color w:val="212121"/>
          <w:shd w:val="clear" w:color="auto" w:fill="FFFFFF"/>
        </w:rPr>
        <w:t>Cheng Q, Cunningham J, Gatton ML. Systematic review of sub-microscopic P. vivax infections: prevalence and determining factors. PLoS Negl Trop Dis. 2015 Jan 8;9(1):e3413. doi: 10.1371/journal.pntd.0003413. PMID: 25569135; PMCID: PMC4288718</w:t>
      </w:r>
    </w:p>
    <w:p w14:paraId="2CA9F5A7" w14:textId="5AA4203A" w:rsidR="00511CAB" w:rsidRPr="00661195" w:rsidRDefault="00661195" w:rsidP="00157EE5">
      <w:pPr>
        <w:pStyle w:val="ListParagraph"/>
        <w:numPr>
          <w:ilvl w:val="0"/>
          <w:numId w:val="2"/>
        </w:numPr>
        <w:spacing w:after="0" w:line="240" w:lineRule="auto"/>
        <w:rPr>
          <w:rFonts w:ascii="Arial" w:hAnsi="Arial" w:cs="Arial"/>
        </w:rPr>
      </w:pPr>
      <w:r w:rsidRPr="00661195">
        <w:rPr>
          <w:rFonts w:ascii="Arial" w:hAnsi="Arial" w:cs="Arial"/>
          <w:shd w:val="clear" w:color="auto" w:fill="FFFFFF"/>
        </w:rPr>
        <w:t>White, N.J. Anti</w:t>
      </w:r>
      <w:r w:rsidRPr="00661195">
        <w:rPr>
          <w:rFonts w:ascii="Cambria Math" w:hAnsi="Cambria Math" w:cs="Cambria Math"/>
          <w:shd w:val="clear" w:color="auto" w:fill="FFFFFF"/>
        </w:rPr>
        <w:t>‐</w:t>
      </w:r>
      <w:r w:rsidRPr="00661195">
        <w:rPr>
          <w:rFonts w:ascii="Arial" w:hAnsi="Arial" w:cs="Arial"/>
          <w:shd w:val="clear" w:color="auto" w:fill="FFFFFF"/>
        </w:rPr>
        <w:t>malarial drug effects on parasite dynamics in vivax malaria. Malar J 20, 161 (2021)</w:t>
      </w:r>
    </w:p>
    <w:p w14:paraId="51310F74" w14:textId="77777777" w:rsidR="00157EE5" w:rsidRPr="00E364A4" w:rsidRDefault="00157EE5" w:rsidP="00157EE5">
      <w:pPr>
        <w:pStyle w:val="ListParagraph"/>
        <w:numPr>
          <w:ilvl w:val="0"/>
          <w:numId w:val="2"/>
        </w:numPr>
        <w:spacing w:after="0" w:line="240" w:lineRule="auto"/>
        <w:rPr>
          <w:rFonts w:ascii="Arial" w:hAnsi="Arial" w:cs="Arial"/>
          <w:lang w:val="en-US"/>
        </w:rPr>
      </w:pPr>
      <w:r w:rsidRPr="00E364A4">
        <w:rPr>
          <w:rFonts w:ascii="Arial" w:hAnsi="Arial" w:cs="Arial"/>
          <w:shd w:val="clear" w:color="auto" w:fill="FFFFFF"/>
        </w:rPr>
        <w:t>Commons RJ, Simpson JA, Watson J, White NJ, Price RN. Estimating the Proportion of </w:t>
      </w:r>
      <w:r w:rsidRPr="00E364A4">
        <w:rPr>
          <w:rFonts w:ascii="Arial" w:hAnsi="Arial" w:cs="Arial"/>
          <w:i/>
          <w:iCs/>
          <w:shd w:val="clear" w:color="auto" w:fill="FFFFFF"/>
        </w:rPr>
        <w:t>Plasmodium vivax</w:t>
      </w:r>
      <w:r w:rsidRPr="00E364A4">
        <w:rPr>
          <w:rFonts w:ascii="Arial" w:hAnsi="Arial" w:cs="Arial"/>
          <w:shd w:val="clear" w:color="auto" w:fill="FFFFFF"/>
        </w:rPr>
        <w:t> Recurrences Caused by Relapse: A Systematic Review and Meta-Analysis. Am J Trop Med Hyg. 2020 Sep;103(3):1094-1099. doi: 10.4269/ajtmh.20-0186</w:t>
      </w:r>
    </w:p>
    <w:p w14:paraId="3703B1B8" w14:textId="4CF8644B" w:rsidR="00051F37" w:rsidRPr="00051F37" w:rsidRDefault="00051F37" w:rsidP="00051F37">
      <w:pPr>
        <w:pStyle w:val="ListParagraph"/>
        <w:numPr>
          <w:ilvl w:val="0"/>
          <w:numId w:val="2"/>
        </w:numPr>
        <w:spacing w:after="0" w:line="240" w:lineRule="auto"/>
        <w:rPr>
          <w:rFonts w:ascii="Arial" w:hAnsi="Arial" w:cs="Arial"/>
        </w:rPr>
      </w:pPr>
      <w:r w:rsidRPr="00051F37">
        <w:rPr>
          <w:rFonts w:ascii="Arial" w:hAnsi="Arial" w:cs="Arial"/>
        </w:rPr>
        <w:t>R.J. Commons, K. Thriemer, G. Humphreys, I. Suay, C.H. Sibley, P.J. Guerin, R.N. Price</w:t>
      </w:r>
      <w:r>
        <w:rPr>
          <w:rFonts w:ascii="Arial" w:hAnsi="Arial" w:cs="Arial"/>
        </w:rPr>
        <w:t xml:space="preserve">. </w:t>
      </w:r>
      <w:r w:rsidRPr="00051F37">
        <w:rPr>
          <w:rFonts w:ascii="Arial" w:hAnsi="Arial" w:cs="Arial"/>
        </w:rPr>
        <w:t>The Vivax Surveyor: Online mapping database for Plasmodium vivax clinical trials,</w:t>
      </w:r>
      <w:r>
        <w:rPr>
          <w:rFonts w:ascii="Arial" w:hAnsi="Arial" w:cs="Arial"/>
        </w:rPr>
        <w:t xml:space="preserve"> </w:t>
      </w:r>
      <w:r w:rsidRPr="00051F37">
        <w:rPr>
          <w:rFonts w:ascii="Arial" w:hAnsi="Arial" w:cs="Arial"/>
        </w:rPr>
        <w:t>International Journal for Parasitology: Drugs and Drug Resistance,</w:t>
      </w:r>
      <w:r>
        <w:rPr>
          <w:rFonts w:ascii="Arial" w:hAnsi="Arial" w:cs="Arial"/>
        </w:rPr>
        <w:t xml:space="preserve"> </w:t>
      </w:r>
      <w:r w:rsidRPr="00051F37">
        <w:rPr>
          <w:rFonts w:ascii="Arial" w:hAnsi="Arial" w:cs="Arial"/>
        </w:rPr>
        <w:t>Volume 7,</w:t>
      </w:r>
      <w:r>
        <w:rPr>
          <w:rFonts w:ascii="Arial" w:hAnsi="Arial" w:cs="Arial"/>
        </w:rPr>
        <w:t xml:space="preserve"> </w:t>
      </w:r>
      <w:r w:rsidRPr="00051F37">
        <w:rPr>
          <w:rFonts w:ascii="Arial" w:hAnsi="Arial" w:cs="Arial"/>
        </w:rPr>
        <w:t>Issue 2,</w:t>
      </w:r>
      <w:r>
        <w:rPr>
          <w:rFonts w:ascii="Arial" w:hAnsi="Arial" w:cs="Arial"/>
        </w:rPr>
        <w:t xml:space="preserve"> </w:t>
      </w:r>
      <w:r w:rsidRPr="00051F37">
        <w:rPr>
          <w:rFonts w:ascii="Arial" w:hAnsi="Arial" w:cs="Arial"/>
        </w:rPr>
        <w:t>2017,</w:t>
      </w:r>
      <w:r>
        <w:rPr>
          <w:rFonts w:ascii="Arial" w:hAnsi="Arial" w:cs="Arial"/>
        </w:rPr>
        <w:t xml:space="preserve"> </w:t>
      </w:r>
      <w:r w:rsidRPr="00051F37">
        <w:rPr>
          <w:rFonts w:ascii="Arial" w:hAnsi="Arial" w:cs="Arial"/>
        </w:rPr>
        <w:t>Pages 181-190</w:t>
      </w:r>
    </w:p>
    <w:p w14:paraId="1B98B892" w14:textId="77777777" w:rsidR="00157EE5" w:rsidRPr="003C0F84" w:rsidRDefault="00157EE5" w:rsidP="00157EE5">
      <w:pPr>
        <w:pStyle w:val="ListParagraph"/>
        <w:numPr>
          <w:ilvl w:val="0"/>
          <w:numId w:val="2"/>
        </w:numPr>
        <w:spacing w:after="0" w:line="240" w:lineRule="auto"/>
        <w:rPr>
          <w:rFonts w:ascii="Arial" w:hAnsi="Arial" w:cs="Arial"/>
        </w:rPr>
      </w:pPr>
      <w:r w:rsidRPr="007D4AC2">
        <w:rPr>
          <w:rFonts w:ascii="Arial" w:hAnsi="Arial" w:cs="Arial"/>
        </w:rPr>
        <w:t xml:space="preserve">World Health Organization. WHO Child Growth Standards: Length/height-for-age, </w:t>
      </w:r>
      <w:r w:rsidRPr="003C0F84">
        <w:rPr>
          <w:rFonts w:ascii="Arial" w:hAnsi="Arial" w:cs="Arial"/>
        </w:rPr>
        <w:t>weight-for-age, weight-for-length, weight-for-height and body mass index-for-age: Methods and development. Geneva; 2006</w:t>
      </w:r>
    </w:p>
    <w:p w14:paraId="4CED8A90" w14:textId="77777777" w:rsidR="00157EE5" w:rsidRPr="00185B49" w:rsidRDefault="00157EE5" w:rsidP="00157EE5">
      <w:pPr>
        <w:pStyle w:val="ListParagraph"/>
        <w:numPr>
          <w:ilvl w:val="0"/>
          <w:numId w:val="2"/>
        </w:numPr>
        <w:spacing w:after="0" w:line="240" w:lineRule="auto"/>
        <w:rPr>
          <w:rFonts w:ascii="Arial" w:hAnsi="Arial" w:cs="Arial"/>
        </w:rPr>
      </w:pPr>
      <w:r w:rsidRPr="003C0F84">
        <w:rPr>
          <w:rFonts w:ascii="Arial" w:hAnsi="Arial" w:cs="Arial"/>
          <w:shd w:val="clear" w:color="auto" w:fill="FFFFFF"/>
        </w:rPr>
        <w:t>Hay SI, Snow RW</w:t>
      </w:r>
      <w:r>
        <w:rPr>
          <w:rFonts w:ascii="Arial" w:hAnsi="Arial" w:cs="Arial"/>
          <w:shd w:val="clear" w:color="auto" w:fill="FFFFFF"/>
        </w:rPr>
        <w:t xml:space="preserve"> (2006)</w:t>
      </w:r>
      <w:r w:rsidRPr="003C0F84">
        <w:rPr>
          <w:rFonts w:ascii="Arial" w:hAnsi="Arial" w:cs="Arial"/>
          <w:shd w:val="clear" w:color="auto" w:fill="FFFFFF"/>
        </w:rPr>
        <w:t xml:space="preserve"> The Malaria Atlas Project: developing global maps of malaria risk. PLoS Med. 3: e473</w:t>
      </w:r>
    </w:p>
    <w:p w14:paraId="09445D6F" w14:textId="72F36847" w:rsidR="00157EE5" w:rsidRPr="00157EE5" w:rsidRDefault="00157EE5" w:rsidP="00157EE5">
      <w:pPr>
        <w:pStyle w:val="ListParagraph"/>
        <w:numPr>
          <w:ilvl w:val="0"/>
          <w:numId w:val="2"/>
        </w:numPr>
        <w:spacing w:after="0" w:line="240" w:lineRule="auto"/>
        <w:rPr>
          <w:rFonts w:ascii="Arial" w:hAnsi="Arial" w:cs="Arial"/>
        </w:rPr>
      </w:pPr>
      <w:r w:rsidRPr="00E45639">
        <w:rPr>
          <w:rFonts w:ascii="Arial" w:hAnsi="Arial" w:cs="Arial"/>
        </w:rPr>
        <w:t>Battle KE, Karhunen MS, Bhatt S, Gething PW, Howes RE, Golding N, et al. Geographical variation in Plasmodium vivax relapse. Malar J. 2014; 13:144</w:t>
      </w:r>
    </w:p>
    <w:p w14:paraId="1EC128B1" w14:textId="77777777" w:rsidR="00157EE5" w:rsidRDefault="00157EE5" w:rsidP="00157EE5">
      <w:pPr>
        <w:widowControl w:val="0"/>
        <w:autoSpaceDE w:val="0"/>
        <w:autoSpaceDN w:val="0"/>
        <w:adjustRightInd w:val="0"/>
        <w:spacing w:after="0" w:line="240" w:lineRule="auto"/>
        <w:rPr>
          <w:rFonts w:ascii="Arial" w:hAnsi="Arial" w:cs="Arial"/>
          <w:b/>
          <w:color w:val="0070C0"/>
          <w:sz w:val="28"/>
          <w:szCs w:val="28"/>
        </w:rPr>
      </w:pPr>
    </w:p>
    <w:p w14:paraId="7342DF12" w14:textId="77777777" w:rsidR="00157EE5" w:rsidRDefault="00157EE5" w:rsidP="00157EE5">
      <w:pPr>
        <w:rPr>
          <w:rFonts w:ascii="Arial" w:hAnsi="Arial" w:cs="Arial"/>
          <w:b/>
          <w:color w:val="0070C0"/>
          <w:sz w:val="28"/>
          <w:szCs w:val="28"/>
        </w:rPr>
      </w:pPr>
      <w:r>
        <w:rPr>
          <w:rFonts w:ascii="Arial" w:hAnsi="Arial" w:cs="Arial"/>
          <w:b/>
          <w:color w:val="0070C0"/>
          <w:sz w:val="28"/>
          <w:szCs w:val="28"/>
        </w:rPr>
        <w:br w:type="page"/>
      </w:r>
    </w:p>
    <w:p w14:paraId="6774AE65" w14:textId="77777777" w:rsidR="00157EE5" w:rsidRPr="00E13009" w:rsidRDefault="00157EE5" w:rsidP="00157EE5">
      <w:pPr>
        <w:widowControl w:val="0"/>
        <w:autoSpaceDE w:val="0"/>
        <w:autoSpaceDN w:val="0"/>
        <w:adjustRightInd w:val="0"/>
        <w:spacing w:after="0" w:line="240" w:lineRule="auto"/>
        <w:rPr>
          <w:rFonts w:ascii="Arial" w:hAnsi="Arial" w:cs="Arial"/>
          <w:b/>
          <w:color w:val="0070C0"/>
          <w:sz w:val="28"/>
          <w:szCs w:val="28"/>
        </w:rPr>
      </w:pPr>
      <w:r w:rsidRPr="00E13009">
        <w:rPr>
          <w:rFonts w:ascii="Arial" w:hAnsi="Arial" w:cs="Arial"/>
          <w:b/>
          <w:color w:val="0070C0"/>
          <w:sz w:val="28"/>
          <w:szCs w:val="28"/>
        </w:rPr>
        <w:lastRenderedPageBreak/>
        <w:t>1</w:t>
      </w:r>
      <w:r>
        <w:rPr>
          <w:rFonts w:ascii="Arial" w:hAnsi="Arial" w:cs="Arial"/>
          <w:b/>
          <w:color w:val="0070C0"/>
          <w:sz w:val="28"/>
          <w:szCs w:val="28"/>
        </w:rPr>
        <w:t>1</w:t>
      </w:r>
      <w:r w:rsidRPr="00E13009">
        <w:rPr>
          <w:rFonts w:ascii="Arial" w:hAnsi="Arial" w:cs="Arial"/>
          <w:b/>
          <w:color w:val="0070C0"/>
          <w:sz w:val="28"/>
          <w:szCs w:val="28"/>
        </w:rPr>
        <w:t>. Annex</w:t>
      </w:r>
    </w:p>
    <w:p w14:paraId="02535873" w14:textId="77777777" w:rsidR="00157EE5" w:rsidRDefault="00157EE5" w:rsidP="00157EE5">
      <w:pPr>
        <w:widowControl w:val="0"/>
        <w:autoSpaceDE w:val="0"/>
        <w:autoSpaceDN w:val="0"/>
        <w:adjustRightInd w:val="0"/>
        <w:spacing w:after="0" w:line="240" w:lineRule="auto"/>
        <w:rPr>
          <w:rFonts w:ascii="Arial" w:hAnsi="Arial" w:cs="Arial"/>
          <w:color w:val="000000" w:themeColor="text1"/>
        </w:rPr>
      </w:pPr>
    </w:p>
    <w:p w14:paraId="5274DBA3" w14:textId="77777777" w:rsidR="00157EE5" w:rsidRPr="002D13B8" w:rsidRDefault="00157EE5" w:rsidP="00157EE5">
      <w:pPr>
        <w:widowControl w:val="0"/>
        <w:autoSpaceDE w:val="0"/>
        <w:autoSpaceDN w:val="0"/>
        <w:adjustRightInd w:val="0"/>
        <w:spacing w:after="0" w:line="240" w:lineRule="auto"/>
        <w:rPr>
          <w:rFonts w:ascii="Arial" w:hAnsi="Arial" w:cs="Arial"/>
          <w:color w:val="000000" w:themeColor="text1"/>
        </w:rPr>
      </w:pPr>
      <w:r w:rsidRPr="002D13B8">
        <w:rPr>
          <w:rFonts w:ascii="Arial" w:hAnsi="Arial" w:cs="Arial"/>
          <w:color w:val="000000" w:themeColor="text1"/>
        </w:rPr>
        <w:t>List of available co-variates.</w:t>
      </w:r>
    </w:p>
    <w:p w14:paraId="681AEE55" w14:textId="77777777" w:rsidR="00157EE5" w:rsidRPr="002D13B8" w:rsidRDefault="00157EE5" w:rsidP="00157EE5">
      <w:pPr>
        <w:widowControl w:val="0"/>
        <w:autoSpaceDE w:val="0"/>
        <w:autoSpaceDN w:val="0"/>
        <w:adjustRightInd w:val="0"/>
        <w:spacing w:after="0" w:line="240" w:lineRule="auto"/>
        <w:rPr>
          <w:rFonts w:ascii="Arial" w:hAnsi="Arial" w:cs="Arial"/>
          <w:color w:val="000000" w:themeColor="text1"/>
        </w:rPr>
      </w:pPr>
    </w:p>
    <w:tbl>
      <w:tblPr>
        <w:tblStyle w:val="TableGrid"/>
        <w:tblW w:w="9209" w:type="dxa"/>
        <w:tblLook w:val="04A0" w:firstRow="1" w:lastRow="0" w:firstColumn="1" w:lastColumn="0" w:noHBand="0" w:noVBand="1"/>
      </w:tblPr>
      <w:tblGrid>
        <w:gridCol w:w="2405"/>
        <w:gridCol w:w="4394"/>
        <w:gridCol w:w="2410"/>
      </w:tblGrid>
      <w:tr w:rsidR="00157EE5" w:rsidRPr="005E04A8" w14:paraId="5B317401" w14:textId="77777777" w:rsidTr="00E86B6F">
        <w:trPr>
          <w:trHeight w:val="506"/>
        </w:trPr>
        <w:tc>
          <w:tcPr>
            <w:tcW w:w="2405" w:type="dxa"/>
          </w:tcPr>
          <w:p w14:paraId="6C3615DB" w14:textId="77777777" w:rsidR="00157EE5" w:rsidRPr="005E04A8" w:rsidRDefault="00157EE5" w:rsidP="00E43FDF">
            <w:pPr>
              <w:rPr>
                <w:rFonts w:ascii="Arial" w:hAnsi="Arial" w:cs="Arial"/>
                <w:b/>
              </w:rPr>
            </w:pPr>
            <w:r w:rsidRPr="005E04A8">
              <w:rPr>
                <w:rFonts w:ascii="Arial" w:hAnsi="Arial" w:cs="Arial"/>
                <w:b/>
              </w:rPr>
              <w:t>Category of Variable</w:t>
            </w:r>
          </w:p>
        </w:tc>
        <w:tc>
          <w:tcPr>
            <w:tcW w:w="4394" w:type="dxa"/>
          </w:tcPr>
          <w:p w14:paraId="71F170BC" w14:textId="77777777" w:rsidR="00157EE5" w:rsidRPr="005E04A8" w:rsidRDefault="00157EE5" w:rsidP="00E43FDF">
            <w:pPr>
              <w:rPr>
                <w:rFonts w:ascii="Arial" w:hAnsi="Arial" w:cs="Arial"/>
                <w:b/>
              </w:rPr>
            </w:pPr>
            <w:r w:rsidRPr="005E04A8">
              <w:rPr>
                <w:rFonts w:ascii="Arial" w:hAnsi="Arial" w:cs="Arial"/>
                <w:b/>
              </w:rPr>
              <w:t>Variable</w:t>
            </w:r>
          </w:p>
        </w:tc>
        <w:tc>
          <w:tcPr>
            <w:tcW w:w="2410" w:type="dxa"/>
          </w:tcPr>
          <w:p w14:paraId="567ED801" w14:textId="77777777" w:rsidR="00157EE5" w:rsidRPr="005E04A8" w:rsidRDefault="00157EE5" w:rsidP="00E43FDF">
            <w:pPr>
              <w:rPr>
                <w:rFonts w:ascii="Arial" w:hAnsi="Arial" w:cs="Arial"/>
                <w:b/>
              </w:rPr>
            </w:pPr>
            <w:r w:rsidRPr="005E04A8">
              <w:rPr>
                <w:rFonts w:ascii="Arial" w:hAnsi="Arial" w:cs="Arial"/>
                <w:b/>
              </w:rPr>
              <w:t>Essential / Desirable</w:t>
            </w:r>
          </w:p>
        </w:tc>
      </w:tr>
      <w:tr w:rsidR="00157EE5" w:rsidRPr="005E04A8" w14:paraId="0865407E" w14:textId="77777777" w:rsidTr="00E86B6F">
        <w:trPr>
          <w:trHeight w:val="506"/>
        </w:trPr>
        <w:tc>
          <w:tcPr>
            <w:tcW w:w="2405" w:type="dxa"/>
          </w:tcPr>
          <w:p w14:paraId="133C3BCF" w14:textId="77777777" w:rsidR="00157EE5" w:rsidRPr="005E04A8" w:rsidRDefault="00157EE5" w:rsidP="00E43FDF">
            <w:pPr>
              <w:rPr>
                <w:rFonts w:ascii="Arial" w:hAnsi="Arial" w:cs="Arial"/>
                <w:b/>
              </w:rPr>
            </w:pPr>
            <w:r w:rsidRPr="005E04A8">
              <w:rPr>
                <w:rFonts w:ascii="Arial" w:hAnsi="Arial" w:cs="Arial"/>
                <w:b/>
              </w:rPr>
              <w:t>General</w:t>
            </w:r>
          </w:p>
        </w:tc>
        <w:tc>
          <w:tcPr>
            <w:tcW w:w="4394" w:type="dxa"/>
          </w:tcPr>
          <w:p w14:paraId="08CF27D4" w14:textId="77777777" w:rsidR="00157EE5" w:rsidRPr="005E04A8" w:rsidRDefault="00157EE5" w:rsidP="00E43FDF">
            <w:pPr>
              <w:rPr>
                <w:rFonts w:ascii="Arial" w:hAnsi="Arial" w:cs="Arial"/>
              </w:rPr>
            </w:pPr>
            <w:r w:rsidRPr="005E04A8">
              <w:rPr>
                <w:rFonts w:ascii="Arial" w:hAnsi="Arial" w:cs="Arial"/>
              </w:rPr>
              <w:t>Date of enrolment</w:t>
            </w:r>
          </w:p>
        </w:tc>
        <w:tc>
          <w:tcPr>
            <w:tcW w:w="2410" w:type="dxa"/>
          </w:tcPr>
          <w:p w14:paraId="0E37A944"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4754F873" w14:textId="77777777" w:rsidTr="00E86B6F">
        <w:trPr>
          <w:trHeight w:val="506"/>
        </w:trPr>
        <w:tc>
          <w:tcPr>
            <w:tcW w:w="2405" w:type="dxa"/>
          </w:tcPr>
          <w:p w14:paraId="2F67CA63" w14:textId="77777777" w:rsidR="00157EE5" w:rsidRPr="005E04A8" w:rsidRDefault="00157EE5" w:rsidP="00E43FDF">
            <w:pPr>
              <w:rPr>
                <w:rFonts w:ascii="Arial" w:hAnsi="Arial" w:cs="Arial"/>
                <w:b/>
              </w:rPr>
            </w:pPr>
          </w:p>
        </w:tc>
        <w:tc>
          <w:tcPr>
            <w:tcW w:w="4394" w:type="dxa"/>
          </w:tcPr>
          <w:p w14:paraId="3BCBFCAD" w14:textId="77777777" w:rsidR="00157EE5" w:rsidRPr="005E04A8" w:rsidRDefault="00157EE5" w:rsidP="00E43FDF">
            <w:pPr>
              <w:rPr>
                <w:rFonts w:ascii="Arial" w:hAnsi="Arial" w:cs="Arial"/>
              </w:rPr>
            </w:pPr>
            <w:r>
              <w:rPr>
                <w:rFonts w:ascii="Arial" w:hAnsi="Arial" w:cs="Arial"/>
              </w:rPr>
              <w:t>Follow-up duration</w:t>
            </w:r>
          </w:p>
        </w:tc>
        <w:tc>
          <w:tcPr>
            <w:tcW w:w="2410" w:type="dxa"/>
          </w:tcPr>
          <w:p w14:paraId="1BA941FB"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246279CF" w14:textId="77777777" w:rsidTr="00E86B6F">
        <w:trPr>
          <w:trHeight w:val="506"/>
        </w:trPr>
        <w:tc>
          <w:tcPr>
            <w:tcW w:w="2405" w:type="dxa"/>
          </w:tcPr>
          <w:p w14:paraId="21CC2B72" w14:textId="77777777" w:rsidR="00157EE5" w:rsidRPr="005E04A8" w:rsidRDefault="00157EE5" w:rsidP="00E43FDF">
            <w:pPr>
              <w:rPr>
                <w:rFonts w:ascii="Arial" w:hAnsi="Arial" w:cs="Arial"/>
                <w:b/>
              </w:rPr>
            </w:pPr>
          </w:p>
        </w:tc>
        <w:tc>
          <w:tcPr>
            <w:tcW w:w="4394" w:type="dxa"/>
          </w:tcPr>
          <w:p w14:paraId="30AB7BD2" w14:textId="77777777" w:rsidR="00157EE5" w:rsidRDefault="00157EE5" w:rsidP="00E43FDF">
            <w:pPr>
              <w:rPr>
                <w:rFonts w:ascii="Arial" w:hAnsi="Arial" w:cs="Arial"/>
              </w:rPr>
            </w:pPr>
            <w:r>
              <w:rPr>
                <w:rFonts w:ascii="Arial" w:hAnsi="Arial" w:cs="Arial"/>
              </w:rPr>
              <w:t>Active and/or passive case detection during follow-up</w:t>
            </w:r>
          </w:p>
        </w:tc>
        <w:tc>
          <w:tcPr>
            <w:tcW w:w="2410" w:type="dxa"/>
          </w:tcPr>
          <w:p w14:paraId="3DBA051A"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3DFFF678" w14:textId="77777777" w:rsidTr="00E86B6F">
        <w:trPr>
          <w:trHeight w:val="506"/>
        </w:trPr>
        <w:tc>
          <w:tcPr>
            <w:tcW w:w="2405" w:type="dxa"/>
          </w:tcPr>
          <w:p w14:paraId="70E7B8FD" w14:textId="77777777" w:rsidR="00157EE5" w:rsidRPr="005E04A8" w:rsidRDefault="00157EE5" w:rsidP="00E43FDF">
            <w:pPr>
              <w:rPr>
                <w:rFonts w:ascii="Arial" w:hAnsi="Arial" w:cs="Arial"/>
                <w:b/>
              </w:rPr>
            </w:pPr>
          </w:p>
        </w:tc>
        <w:tc>
          <w:tcPr>
            <w:tcW w:w="4394" w:type="dxa"/>
          </w:tcPr>
          <w:p w14:paraId="04B0A3FF" w14:textId="77777777" w:rsidR="00157EE5" w:rsidRPr="005E04A8" w:rsidRDefault="00157EE5" w:rsidP="00E43FDF">
            <w:pPr>
              <w:rPr>
                <w:rFonts w:ascii="Arial" w:hAnsi="Arial" w:cs="Arial"/>
              </w:rPr>
            </w:pPr>
            <w:r>
              <w:rPr>
                <w:rFonts w:ascii="Arial" w:hAnsi="Arial" w:cs="Arial"/>
              </w:rPr>
              <w:t xml:space="preserve">Recurrence rate </w:t>
            </w:r>
          </w:p>
        </w:tc>
        <w:tc>
          <w:tcPr>
            <w:tcW w:w="2410" w:type="dxa"/>
          </w:tcPr>
          <w:p w14:paraId="07901846" w14:textId="77777777" w:rsidR="00157EE5" w:rsidRPr="005E04A8" w:rsidRDefault="00157EE5" w:rsidP="00E43FDF">
            <w:pPr>
              <w:rPr>
                <w:rFonts w:ascii="Arial" w:hAnsi="Arial" w:cs="Arial"/>
              </w:rPr>
            </w:pPr>
            <w:r>
              <w:rPr>
                <w:rFonts w:ascii="Arial" w:hAnsi="Arial" w:cs="Arial"/>
              </w:rPr>
              <w:t>Desirable</w:t>
            </w:r>
          </w:p>
        </w:tc>
      </w:tr>
      <w:tr w:rsidR="00157EE5" w:rsidRPr="005E04A8" w14:paraId="35AF11E5" w14:textId="77777777" w:rsidTr="00E86B6F">
        <w:trPr>
          <w:trHeight w:val="506"/>
        </w:trPr>
        <w:tc>
          <w:tcPr>
            <w:tcW w:w="2405" w:type="dxa"/>
          </w:tcPr>
          <w:p w14:paraId="1F9F268C" w14:textId="77777777" w:rsidR="00157EE5" w:rsidRPr="005E04A8" w:rsidRDefault="00157EE5" w:rsidP="00E43FDF">
            <w:pPr>
              <w:rPr>
                <w:rFonts w:ascii="Arial" w:hAnsi="Arial" w:cs="Arial"/>
                <w:b/>
              </w:rPr>
            </w:pPr>
          </w:p>
        </w:tc>
        <w:tc>
          <w:tcPr>
            <w:tcW w:w="4394" w:type="dxa"/>
          </w:tcPr>
          <w:p w14:paraId="3796913E" w14:textId="77777777" w:rsidR="00157EE5" w:rsidRDefault="00157EE5" w:rsidP="00E43FDF">
            <w:pPr>
              <w:rPr>
                <w:rFonts w:ascii="Arial" w:hAnsi="Arial" w:cs="Arial"/>
              </w:rPr>
            </w:pPr>
            <w:r>
              <w:rPr>
                <w:rFonts w:ascii="Arial" w:hAnsi="Arial" w:cs="Arial"/>
              </w:rPr>
              <w:t>Date of recurrence(s)</w:t>
            </w:r>
          </w:p>
        </w:tc>
        <w:tc>
          <w:tcPr>
            <w:tcW w:w="2410" w:type="dxa"/>
          </w:tcPr>
          <w:p w14:paraId="264EBCD6" w14:textId="77777777" w:rsidR="00157EE5" w:rsidRDefault="00157EE5" w:rsidP="00E43FDF">
            <w:pPr>
              <w:rPr>
                <w:rFonts w:ascii="Arial" w:hAnsi="Arial" w:cs="Arial"/>
              </w:rPr>
            </w:pPr>
            <w:r>
              <w:rPr>
                <w:rFonts w:ascii="Arial" w:hAnsi="Arial" w:cs="Arial"/>
              </w:rPr>
              <w:t>Desirable</w:t>
            </w:r>
          </w:p>
        </w:tc>
      </w:tr>
      <w:tr w:rsidR="00157EE5" w:rsidRPr="005E04A8" w14:paraId="22D677BD" w14:textId="77777777" w:rsidTr="00E86B6F">
        <w:trPr>
          <w:trHeight w:val="506"/>
        </w:trPr>
        <w:tc>
          <w:tcPr>
            <w:tcW w:w="2405" w:type="dxa"/>
          </w:tcPr>
          <w:p w14:paraId="184E41DB" w14:textId="77777777" w:rsidR="00157EE5" w:rsidRPr="005E04A8" w:rsidRDefault="00157EE5" w:rsidP="00E43FDF">
            <w:pPr>
              <w:rPr>
                <w:rFonts w:ascii="Arial" w:hAnsi="Arial" w:cs="Arial"/>
                <w:b/>
              </w:rPr>
            </w:pPr>
            <w:r w:rsidRPr="005E04A8">
              <w:rPr>
                <w:rFonts w:ascii="Arial" w:hAnsi="Arial" w:cs="Arial"/>
                <w:b/>
              </w:rPr>
              <w:t>Location</w:t>
            </w:r>
          </w:p>
        </w:tc>
        <w:tc>
          <w:tcPr>
            <w:tcW w:w="4394" w:type="dxa"/>
          </w:tcPr>
          <w:p w14:paraId="0D4122DD" w14:textId="77777777" w:rsidR="00157EE5" w:rsidRPr="005E04A8" w:rsidRDefault="00157EE5" w:rsidP="00E43FDF">
            <w:pPr>
              <w:rPr>
                <w:rFonts w:ascii="Arial" w:hAnsi="Arial" w:cs="Arial"/>
                <w:b/>
                <w:color w:val="FF0000"/>
              </w:rPr>
            </w:pPr>
            <w:r w:rsidRPr="00D2381A">
              <w:rPr>
                <w:rFonts w:ascii="Arial" w:hAnsi="Arial" w:cs="Arial"/>
                <w:b/>
                <w:color w:val="2E74B5" w:themeColor="accent5" w:themeShade="BF"/>
              </w:rPr>
              <w:t>Study location</w:t>
            </w:r>
          </w:p>
        </w:tc>
        <w:tc>
          <w:tcPr>
            <w:tcW w:w="2410" w:type="dxa"/>
          </w:tcPr>
          <w:p w14:paraId="16E32386" w14:textId="77777777" w:rsidR="00157EE5" w:rsidRPr="005E04A8" w:rsidRDefault="00157EE5" w:rsidP="00E43FDF">
            <w:pPr>
              <w:rPr>
                <w:rFonts w:ascii="Arial" w:hAnsi="Arial" w:cs="Arial"/>
                <w:b/>
                <w:color w:val="FF0000"/>
              </w:rPr>
            </w:pPr>
            <w:r w:rsidRPr="00D2381A">
              <w:rPr>
                <w:rFonts w:ascii="Arial" w:hAnsi="Arial" w:cs="Arial"/>
                <w:b/>
                <w:color w:val="2E74B5" w:themeColor="accent5" w:themeShade="BF"/>
              </w:rPr>
              <w:t>Essential</w:t>
            </w:r>
          </w:p>
        </w:tc>
      </w:tr>
      <w:tr w:rsidR="00157EE5" w:rsidRPr="005E04A8" w14:paraId="0767ECD4" w14:textId="77777777" w:rsidTr="00E86B6F">
        <w:trPr>
          <w:trHeight w:val="506"/>
        </w:trPr>
        <w:tc>
          <w:tcPr>
            <w:tcW w:w="2405" w:type="dxa"/>
          </w:tcPr>
          <w:p w14:paraId="18BC6002" w14:textId="77777777" w:rsidR="00157EE5" w:rsidRPr="005E04A8" w:rsidRDefault="00157EE5" w:rsidP="00E43FDF">
            <w:pPr>
              <w:rPr>
                <w:rFonts w:ascii="Arial" w:hAnsi="Arial" w:cs="Arial"/>
                <w:b/>
              </w:rPr>
            </w:pPr>
          </w:p>
        </w:tc>
        <w:tc>
          <w:tcPr>
            <w:tcW w:w="4394" w:type="dxa"/>
          </w:tcPr>
          <w:p w14:paraId="0DBBF81C" w14:textId="77777777" w:rsidR="00157EE5" w:rsidRPr="005E04A8" w:rsidRDefault="00157EE5" w:rsidP="00E43FDF">
            <w:pPr>
              <w:rPr>
                <w:rFonts w:ascii="Arial" w:hAnsi="Arial" w:cs="Arial"/>
              </w:rPr>
            </w:pPr>
            <w:r w:rsidRPr="005E04A8">
              <w:rPr>
                <w:rFonts w:ascii="Arial" w:hAnsi="Arial" w:cs="Arial"/>
              </w:rPr>
              <w:t>GPS co-ordinates of location</w:t>
            </w:r>
          </w:p>
        </w:tc>
        <w:tc>
          <w:tcPr>
            <w:tcW w:w="2410" w:type="dxa"/>
          </w:tcPr>
          <w:p w14:paraId="7F29F34E"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73359E98" w14:textId="77777777" w:rsidTr="00E86B6F">
        <w:trPr>
          <w:trHeight w:val="506"/>
        </w:trPr>
        <w:tc>
          <w:tcPr>
            <w:tcW w:w="2405" w:type="dxa"/>
          </w:tcPr>
          <w:p w14:paraId="38F52D4D" w14:textId="77777777" w:rsidR="00157EE5" w:rsidRPr="005E04A8" w:rsidRDefault="00157EE5" w:rsidP="00E43FDF">
            <w:pPr>
              <w:rPr>
                <w:rFonts w:ascii="Arial" w:hAnsi="Arial" w:cs="Arial"/>
                <w:b/>
              </w:rPr>
            </w:pPr>
          </w:p>
        </w:tc>
        <w:tc>
          <w:tcPr>
            <w:tcW w:w="4394" w:type="dxa"/>
          </w:tcPr>
          <w:p w14:paraId="30D7A3DD" w14:textId="77777777" w:rsidR="00157EE5" w:rsidRPr="005E04A8" w:rsidRDefault="00157EE5" w:rsidP="00E43FDF">
            <w:pPr>
              <w:rPr>
                <w:rFonts w:ascii="Arial" w:hAnsi="Arial" w:cs="Arial"/>
              </w:rPr>
            </w:pPr>
            <w:r w:rsidRPr="005E04A8">
              <w:rPr>
                <w:rFonts w:ascii="Arial" w:hAnsi="Arial" w:cs="Arial"/>
              </w:rPr>
              <w:t>Study site details</w:t>
            </w:r>
          </w:p>
        </w:tc>
        <w:tc>
          <w:tcPr>
            <w:tcW w:w="2410" w:type="dxa"/>
          </w:tcPr>
          <w:p w14:paraId="5BB6144C"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66A8CEE2" w14:textId="77777777" w:rsidTr="00E86B6F">
        <w:trPr>
          <w:trHeight w:val="506"/>
        </w:trPr>
        <w:tc>
          <w:tcPr>
            <w:tcW w:w="2405" w:type="dxa"/>
          </w:tcPr>
          <w:p w14:paraId="6B121824" w14:textId="77777777" w:rsidR="00157EE5" w:rsidRPr="005E04A8" w:rsidRDefault="00157EE5" w:rsidP="00E43FDF">
            <w:pPr>
              <w:rPr>
                <w:rFonts w:ascii="Arial" w:hAnsi="Arial" w:cs="Arial"/>
                <w:b/>
              </w:rPr>
            </w:pPr>
            <w:r w:rsidRPr="005E04A8">
              <w:rPr>
                <w:rFonts w:ascii="Arial" w:hAnsi="Arial" w:cs="Arial"/>
                <w:b/>
              </w:rPr>
              <w:t>Demographics</w:t>
            </w:r>
          </w:p>
        </w:tc>
        <w:tc>
          <w:tcPr>
            <w:tcW w:w="4394" w:type="dxa"/>
          </w:tcPr>
          <w:p w14:paraId="3034FEB6"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Age</w:t>
            </w:r>
          </w:p>
        </w:tc>
        <w:tc>
          <w:tcPr>
            <w:tcW w:w="2410" w:type="dxa"/>
          </w:tcPr>
          <w:p w14:paraId="7C1C59AA"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Essential</w:t>
            </w:r>
          </w:p>
        </w:tc>
      </w:tr>
      <w:tr w:rsidR="00157EE5" w:rsidRPr="005E04A8" w14:paraId="4527C850" w14:textId="77777777" w:rsidTr="00E86B6F">
        <w:trPr>
          <w:trHeight w:val="506"/>
        </w:trPr>
        <w:tc>
          <w:tcPr>
            <w:tcW w:w="2405" w:type="dxa"/>
          </w:tcPr>
          <w:p w14:paraId="7515A551" w14:textId="77777777" w:rsidR="00157EE5" w:rsidRPr="005E04A8" w:rsidRDefault="00157EE5" w:rsidP="00E43FDF">
            <w:pPr>
              <w:rPr>
                <w:rFonts w:ascii="Arial" w:hAnsi="Arial" w:cs="Arial"/>
                <w:b/>
              </w:rPr>
            </w:pPr>
          </w:p>
        </w:tc>
        <w:tc>
          <w:tcPr>
            <w:tcW w:w="4394" w:type="dxa"/>
          </w:tcPr>
          <w:p w14:paraId="5A73FFDF"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Sex</w:t>
            </w:r>
          </w:p>
        </w:tc>
        <w:tc>
          <w:tcPr>
            <w:tcW w:w="2410" w:type="dxa"/>
          </w:tcPr>
          <w:p w14:paraId="2F2BFA22"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Essential</w:t>
            </w:r>
          </w:p>
        </w:tc>
      </w:tr>
      <w:tr w:rsidR="00157EE5" w:rsidRPr="005E04A8" w14:paraId="38E976FF" w14:textId="77777777" w:rsidTr="00E86B6F">
        <w:trPr>
          <w:trHeight w:val="506"/>
        </w:trPr>
        <w:tc>
          <w:tcPr>
            <w:tcW w:w="2405" w:type="dxa"/>
          </w:tcPr>
          <w:p w14:paraId="223C765D" w14:textId="77777777" w:rsidR="00157EE5" w:rsidRPr="005E04A8" w:rsidRDefault="00157EE5" w:rsidP="00E43FDF">
            <w:pPr>
              <w:rPr>
                <w:rFonts w:ascii="Arial" w:hAnsi="Arial" w:cs="Arial"/>
                <w:b/>
              </w:rPr>
            </w:pPr>
          </w:p>
        </w:tc>
        <w:tc>
          <w:tcPr>
            <w:tcW w:w="4394" w:type="dxa"/>
          </w:tcPr>
          <w:p w14:paraId="04958456" w14:textId="77777777" w:rsidR="00157EE5" w:rsidRPr="005E04A8" w:rsidRDefault="00157EE5" w:rsidP="00E43FDF">
            <w:pPr>
              <w:rPr>
                <w:rFonts w:ascii="Arial" w:hAnsi="Arial" w:cs="Arial"/>
              </w:rPr>
            </w:pPr>
            <w:r w:rsidRPr="005E04A8">
              <w:rPr>
                <w:rFonts w:ascii="Arial" w:hAnsi="Arial" w:cs="Arial"/>
              </w:rPr>
              <w:t>Pregnancy Status</w:t>
            </w:r>
          </w:p>
        </w:tc>
        <w:tc>
          <w:tcPr>
            <w:tcW w:w="2410" w:type="dxa"/>
          </w:tcPr>
          <w:p w14:paraId="770293B5"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3A95093B" w14:textId="77777777" w:rsidTr="00E86B6F">
        <w:trPr>
          <w:trHeight w:val="506"/>
        </w:trPr>
        <w:tc>
          <w:tcPr>
            <w:tcW w:w="2405" w:type="dxa"/>
          </w:tcPr>
          <w:p w14:paraId="28E8A945" w14:textId="77777777" w:rsidR="00157EE5" w:rsidRPr="005E04A8" w:rsidRDefault="00157EE5" w:rsidP="00E43FDF">
            <w:pPr>
              <w:rPr>
                <w:rFonts w:ascii="Arial" w:hAnsi="Arial" w:cs="Arial"/>
                <w:b/>
              </w:rPr>
            </w:pPr>
            <w:r w:rsidRPr="005E04A8">
              <w:rPr>
                <w:rFonts w:ascii="Arial" w:hAnsi="Arial" w:cs="Arial"/>
                <w:b/>
              </w:rPr>
              <w:t>Clinical history</w:t>
            </w:r>
          </w:p>
        </w:tc>
        <w:tc>
          <w:tcPr>
            <w:tcW w:w="4394" w:type="dxa"/>
          </w:tcPr>
          <w:p w14:paraId="00B28B7F" w14:textId="0976D1CD" w:rsidR="00157EE5" w:rsidRPr="00D2381A" w:rsidRDefault="00157EE5" w:rsidP="00E43FDF">
            <w:pPr>
              <w:rPr>
                <w:rFonts w:ascii="Arial" w:hAnsi="Arial" w:cs="Arial"/>
                <w:color w:val="2E74B5" w:themeColor="accent5" w:themeShade="BF"/>
              </w:rPr>
            </w:pPr>
            <w:r w:rsidRPr="00D2381A">
              <w:rPr>
                <w:rFonts w:ascii="Arial" w:hAnsi="Arial" w:cs="Arial"/>
                <w:b/>
                <w:color w:val="2E74B5" w:themeColor="accent5" w:themeShade="BF"/>
              </w:rPr>
              <w:t>Acute history of fever (within the last 72 hours)</w:t>
            </w:r>
            <w:r w:rsidRPr="00D2381A">
              <w:rPr>
                <w:rFonts w:ascii="Arial" w:hAnsi="Arial" w:cs="Arial"/>
                <w:color w:val="2E74B5" w:themeColor="accent5" w:themeShade="BF"/>
              </w:rPr>
              <w:t xml:space="preserve"> </w:t>
            </w:r>
            <w:r w:rsidRPr="00D2381A">
              <w:rPr>
                <w:rFonts w:ascii="Arial" w:hAnsi="Arial" w:cs="Arial"/>
                <w:b/>
                <w:color w:val="2E74B5" w:themeColor="accent5" w:themeShade="BF"/>
              </w:rPr>
              <w:t xml:space="preserve">per </w:t>
            </w:r>
            <w:r w:rsidR="00AB3302" w:rsidRPr="00D2381A">
              <w:rPr>
                <w:rFonts w:ascii="Arial" w:hAnsi="Arial" w:cs="Arial"/>
                <w:b/>
                <w:color w:val="2E74B5" w:themeColor="accent5" w:themeShade="BF"/>
              </w:rPr>
              <w:t>parasitaemic episode</w:t>
            </w:r>
            <w:r w:rsidRPr="00D2381A">
              <w:rPr>
                <w:rFonts w:ascii="Arial" w:hAnsi="Arial" w:cs="Arial"/>
                <w:b/>
                <w:bCs/>
                <w:color w:val="2E74B5" w:themeColor="accent5" w:themeShade="BF"/>
              </w:rPr>
              <w:t>*</w:t>
            </w:r>
          </w:p>
        </w:tc>
        <w:tc>
          <w:tcPr>
            <w:tcW w:w="2410" w:type="dxa"/>
          </w:tcPr>
          <w:p w14:paraId="5C9E28EE"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Essential</w:t>
            </w:r>
          </w:p>
        </w:tc>
      </w:tr>
      <w:tr w:rsidR="00157EE5" w:rsidRPr="005E04A8" w14:paraId="3CEFDC76" w14:textId="77777777" w:rsidTr="00E86B6F">
        <w:trPr>
          <w:trHeight w:val="506"/>
        </w:trPr>
        <w:tc>
          <w:tcPr>
            <w:tcW w:w="2405" w:type="dxa"/>
          </w:tcPr>
          <w:p w14:paraId="028FE86A" w14:textId="77777777" w:rsidR="00157EE5" w:rsidRPr="005E04A8" w:rsidRDefault="00157EE5" w:rsidP="00E43FDF">
            <w:pPr>
              <w:rPr>
                <w:rFonts w:ascii="Arial" w:hAnsi="Arial" w:cs="Arial"/>
                <w:b/>
              </w:rPr>
            </w:pPr>
          </w:p>
        </w:tc>
        <w:tc>
          <w:tcPr>
            <w:tcW w:w="4394" w:type="dxa"/>
          </w:tcPr>
          <w:p w14:paraId="65D3E506" w14:textId="26003831" w:rsidR="00157EE5" w:rsidRPr="005E04A8" w:rsidRDefault="00157EE5" w:rsidP="00E43FDF">
            <w:pPr>
              <w:rPr>
                <w:rFonts w:ascii="Arial" w:hAnsi="Arial" w:cs="Arial"/>
              </w:rPr>
            </w:pPr>
            <w:r w:rsidRPr="005E04A8">
              <w:rPr>
                <w:rFonts w:ascii="Arial" w:hAnsi="Arial" w:cs="Arial"/>
              </w:rPr>
              <w:t xml:space="preserve">Malaria history in </w:t>
            </w:r>
            <w:r w:rsidR="00AB3302">
              <w:rPr>
                <w:rFonts w:ascii="Arial" w:hAnsi="Arial" w:cs="Arial"/>
              </w:rPr>
              <w:t>the last year</w:t>
            </w:r>
          </w:p>
        </w:tc>
        <w:tc>
          <w:tcPr>
            <w:tcW w:w="2410" w:type="dxa"/>
          </w:tcPr>
          <w:p w14:paraId="0D061211"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04D724FE" w14:textId="77777777" w:rsidTr="00E86B6F">
        <w:trPr>
          <w:trHeight w:val="506"/>
        </w:trPr>
        <w:tc>
          <w:tcPr>
            <w:tcW w:w="2405" w:type="dxa"/>
          </w:tcPr>
          <w:p w14:paraId="0DE04E6C" w14:textId="77777777" w:rsidR="00157EE5" w:rsidRPr="005E04A8" w:rsidRDefault="00157EE5" w:rsidP="00E43FDF">
            <w:pPr>
              <w:rPr>
                <w:rFonts w:ascii="Arial" w:hAnsi="Arial" w:cs="Arial"/>
                <w:b/>
              </w:rPr>
            </w:pPr>
            <w:r w:rsidRPr="005E04A8">
              <w:rPr>
                <w:rFonts w:ascii="Arial" w:hAnsi="Arial" w:cs="Arial"/>
                <w:b/>
              </w:rPr>
              <w:t>Examination</w:t>
            </w:r>
          </w:p>
        </w:tc>
        <w:tc>
          <w:tcPr>
            <w:tcW w:w="4394" w:type="dxa"/>
          </w:tcPr>
          <w:p w14:paraId="712D33C3" w14:textId="076D2FF2"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 xml:space="preserve">Temperature per </w:t>
            </w:r>
            <w:r w:rsidR="00AB3302" w:rsidRPr="00D2381A">
              <w:rPr>
                <w:rFonts w:ascii="Arial" w:hAnsi="Arial" w:cs="Arial"/>
                <w:b/>
                <w:color w:val="2E74B5" w:themeColor="accent5" w:themeShade="BF"/>
              </w:rPr>
              <w:t>parasitaemic episode</w:t>
            </w:r>
            <w:r w:rsidRPr="00D2381A">
              <w:rPr>
                <w:rFonts w:ascii="Arial" w:hAnsi="Arial" w:cs="Arial"/>
                <w:b/>
                <w:bCs/>
                <w:color w:val="2E74B5" w:themeColor="accent5" w:themeShade="BF"/>
              </w:rPr>
              <w:t>*</w:t>
            </w:r>
          </w:p>
        </w:tc>
        <w:tc>
          <w:tcPr>
            <w:tcW w:w="2410" w:type="dxa"/>
          </w:tcPr>
          <w:p w14:paraId="6E27B852"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Essential</w:t>
            </w:r>
          </w:p>
        </w:tc>
      </w:tr>
      <w:tr w:rsidR="00157EE5" w:rsidRPr="005E04A8" w14:paraId="3DD23807" w14:textId="77777777" w:rsidTr="00E86B6F">
        <w:trPr>
          <w:trHeight w:val="506"/>
        </w:trPr>
        <w:tc>
          <w:tcPr>
            <w:tcW w:w="2405" w:type="dxa"/>
          </w:tcPr>
          <w:p w14:paraId="4CB2D9D9" w14:textId="77777777" w:rsidR="00157EE5" w:rsidRPr="005E04A8" w:rsidRDefault="00157EE5" w:rsidP="00E43FDF">
            <w:pPr>
              <w:rPr>
                <w:rFonts w:ascii="Arial" w:hAnsi="Arial" w:cs="Arial"/>
                <w:b/>
              </w:rPr>
            </w:pPr>
          </w:p>
        </w:tc>
        <w:tc>
          <w:tcPr>
            <w:tcW w:w="4394" w:type="dxa"/>
          </w:tcPr>
          <w:p w14:paraId="045C2ECE" w14:textId="77777777" w:rsidR="00157EE5" w:rsidRPr="005E04A8" w:rsidRDefault="00157EE5" w:rsidP="00E43FDF">
            <w:pPr>
              <w:rPr>
                <w:rFonts w:ascii="Arial" w:hAnsi="Arial" w:cs="Arial"/>
              </w:rPr>
            </w:pPr>
            <w:r w:rsidRPr="005E04A8">
              <w:rPr>
                <w:rFonts w:ascii="Arial" w:hAnsi="Arial" w:cs="Arial"/>
              </w:rPr>
              <w:t>Weight</w:t>
            </w:r>
          </w:p>
        </w:tc>
        <w:tc>
          <w:tcPr>
            <w:tcW w:w="2410" w:type="dxa"/>
          </w:tcPr>
          <w:p w14:paraId="5F7C4790"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2AE70A01" w14:textId="77777777" w:rsidTr="00E86B6F">
        <w:trPr>
          <w:trHeight w:val="506"/>
        </w:trPr>
        <w:tc>
          <w:tcPr>
            <w:tcW w:w="2405" w:type="dxa"/>
          </w:tcPr>
          <w:p w14:paraId="44BC40C8" w14:textId="77777777" w:rsidR="00157EE5" w:rsidRPr="005E04A8" w:rsidRDefault="00157EE5" w:rsidP="00E43FDF">
            <w:pPr>
              <w:rPr>
                <w:rFonts w:ascii="Arial" w:hAnsi="Arial" w:cs="Arial"/>
                <w:b/>
              </w:rPr>
            </w:pPr>
          </w:p>
        </w:tc>
        <w:tc>
          <w:tcPr>
            <w:tcW w:w="4394" w:type="dxa"/>
          </w:tcPr>
          <w:p w14:paraId="050E0324" w14:textId="77777777" w:rsidR="00157EE5" w:rsidRPr="005E04A8" w:rsidRDefault="00157EE5" w:rsidP="00E43FDF">
            <w:pPr>
              <w:rPr>
                <w:rFonts w:ascii="Arial" w:hAnsi="Arial" w:cs="Arial"/>
              </w:rPr>
            </w:pPr>
            <w:r w:rsidRPr="005E04A8">
              <w:rPr>
                <w:rFonts w:ascii="Arial" w:hAnsi="Arial" w:cs="Arial"/>
              </w:rPr>
              <w:t>Height</w:t>
            </w:r>
          </w:p>
        </w:tc>
        <w:tc>
          <w:tcPr>
            <w:tcW w:w="2410" w:type="dxa"/>
          </w:tcPr>
          <w:p w14:paraId="059B1E53"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599CE6B9" w14:textId="77777777" w:rsidTr="00E86B6F">
        <w:trPr>
          <w:trHeight w:val="506"/>
        </w:trPr>
        <w:tc>
          <w:tcPr>
            <w:tcW w:w="2405" w:type="dxa"/>
          </w:tcPr>
          <w:p w14:paraId="7C779683" w14:textId="77777777" w:rsidR="00157EE5" w:rsidRPr="005E04A8" w:rsidRDefault="00157EE5" w:rsidP="00E43FDF">
            <w:pPr>
              <w:rPr>
                <w:rFonts w:ascii="Arial" w:hAnsi="Arial" w:cs="Arial"/>
                <w:b/>
              </w:rPr>
            </w:pPr>
          </w:p>
        </w:tc>
        <w:tc>
          <w:tcPr>
            <w:tcW w:w="4394" w:type="dxa"/>
          </w:tcPr>
          <w:p w14:paraId="12D60ABE" w14:textId="77777777" w:rsidR="00157EE5" w:rsidRPr="005E04A8" w:rsidRDefault="00157EE5" w:rsidP="00E43FDF">
            <w:pPr>
              <w:rPr>
                <w:rFonts w:ascii="Arial" w:hAnsi="Arial" w:cs="Arial"/>
              </w:rPr>
            </w:pPr>
            <w:r w:rsidRPr="005E04A8">
              <w:rPr>
                <w:rFonts w:ascii="Arial" w:hAnsi="Arial" w:cs="Arial"/>
              </w:rPr>
              <w:t>Mid-Upper Arm Circumference (MUAC)</w:t>
            </w:r>
          </w:p>
        </w:tc>
        <w:tc>
          <w:tcPr>
            <w:tcW w:w="2410" w:type="dxa"/>
          </w:tcPr>
          <w:p w14:paraId="3866C4E9"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1486EC67" w14:textId="77777777" w:rsidTr="00E86B6F">
        <w:trPr>
          <w:trHeight w:val="506"/>
        </w:trPr>
        <w:tc>
          <w:tcPr>
            <w:tcW w:w="2405" w:type="dxa"/>
          </w:tcPr>
          <w:p w14:paraId="73C51EF9" w14:textId="77777777" w:rsidR="00157EE5" w:rsidRPr="005E04A8" w:rsidRDefault="00157EE5" w:rsidP="00E43FDF">
            <w:pPr>
              <w:rPr>
                <w:rFonts w:ascii="Arial" w:hAnsi="Arial" w:cs="Arial"/>
                <w:b/>
              </w:rPr>
            </w:pPr>
            <w:r w:rsidRPr="005E04A8">
              <w:rPr>
                <w:rFonts w:ascii="Arial" w:hAnsi="Arial" w:cs="Arial"/>
                <w:b/>
              </w:rPr>
              <w:t>Microscopy</w:t>
            </w:r>
          </w:p>
        </w:tc>
        <w:tc>
          <w:tcPr>
            <w:tcW w:w="4394" w:type="dxa"/>
          </w:tcPr>
          <w:p w14:paraId="6C4227BF"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Method of calculation or units of parasitaemia</w:t>
            </w:r>
          </w:p>
        </w:tc>
        <w:tc>
          <w:tcPr>
            <w:tcW w:w="2410" w:type="dxa"/>
          </w:tcPr>
          <w:p w14:paraId="40FBBCCD" w14:textId="77777777" w:rsidR="00157EE5" w:rsidRPr="00D2381A" w:rsidRDefault="00157EE5" w:rsidP="00E43FDF">
            <w:pPr>
              <w:rPr>
                <w:rFonts w:ascii="Arial" w:hAnsi="Arial" w:cs="Arial"/>
                <w:color w:val="2E74B5" w:themeColor="accent5" w:themeShade="BF"/>
              </w:rPr>
            </w:pPr>
            <w:r w:rsidRPr="00D2381A">
              <w:rPr>
                <w:rFonts w:ascii="Arial" w:hAnsi="Arial" w:cs="Arial"/>
                <w:b/>
                <w:color w:val="2E74B5" w:themeColor="accent5" w:themeShade="BF"/>
              </w:rPr>
              <w:t>Essential</w:t>
            </w:r>
          </w:p>
        </w:tc>
      </w:tr>
      <w:tr w:rsidR="00157EE5" w:rsidRPr="005E04A8" w14:paraId="76002761" w14:textId="77777777" w:rsidTr="00E86B6F">
        <w:trPr>
          <w:trHeight w:val="506"/>
        </w:trPr>
        <w:tc>
          <w:tcPr>
            <w:tcW w:w="2405" w:type="dxa"/>
          </w:tcPr>
          <w:p w14:paraId="1727DC6D" w14:textId="77777777" w:rsidR="00157EE5" w:rsidRPr="005E04A8" w:rsidRDefault="00157EE5" w:rsidP="00E43FDF">
            <w:pPr>
              <w:rPr>
                <w:rFonts w:ascii="Arial" w:hAnsi="Arial" w:cs="Arial"/>
                <w:b/>
              </w:rPr>
            </w:pPr>
          </w:p>
        </w:tc>
        <w:tc>
          <w:tcPr>
            <w:tcW w:w="4394" w:type="dxa"/>
          </w:tcPr>
          <w:p w14:paraId="6F3FED21" w14:textId="73BFD905"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 xml:space="preserve">Asexual parasitaemia </w:t>
            </w:r>
            <w:r w:rsidR="00AB3302" w:rsidRPr="00D2381A">
              <w:rPr>
                <w:rFonts w:ascii="Arial" w:hAnsi="Arial" w:cs="Arial"/>
                <w:b/>
                <w:color w:val="2E74B5" w:themeColor="accent5" w:themeShade="BF"/>
              </w:rPr>
              <w:t>per parasitaemic episode</w:t>
            </w:r>
          </w:p>
        </w:tc>
        <w:tc>
          <w:tcPr>
            <w:tcW w:w="2410" w:type="dxa"/>
          </w:tcPr>
          <w:p w14:paraId="0278F949" w14:textId="77777777" w:rsidR="00157EE5" w:rsidRPr="00D2381A" w:rsidRDefault="00157EE5" w:rsidP="00E43FDF">
            <w:pPr>
              <w:rPr>
                <w:rFonts w:ascii="Arial" w:hAnsi="Arial" w:cs="Arial"/>
                <w:color w:val="2E74B5" w:themeColor="accent5" w:themeShade="BF"/>
              </w:rPr>
            </w:pPr>
            <w:r w:rsidRPr="00D2381A">
              <w:rPr>
                <w:rFonts w:ascii="Arial" w:hAnsi="Arial" w:cs="Arial"/>
                <w:b/>
                <w:color w:val="2E74B5" w:themeColor="accent5" w:themeShade="BF"/>
              </w:rPr>
              <w:t>Essential</w:t>
            </w:r>
          </w:p>
        </w:tc>
      </w:tr>
      <w:tr w:rsidR="00157EE5" w:rsidRPr="005E04A8" w14:paraId="2D331CED" w14:textId="77777777" w:rsidTr="00E86B6F">
        <w:trPr>
          <w:trHeight w:val="506"/>
        </w:trPr>
        <w:tc>
          <w:tcPr>
            <w:tcW w:w="2405" w:type="dxa"/>
          </w:tcPr>
          <w:p w14:paraId="7EF3A77A" w14:textId="77777777" w:rsidR="00157EE5" w:rsidRPr="005E04A8" w:rsidRDefault="00157EE5" w:rsidP="00E43FDF">
            <w:pPr>
              <w:rPr>
                <w:rFonts w:ascii="Arial" w:hAnsi="Arial" w:cs="Arial"/>
                <w:b/>
              </w:rPr>
            </w:pPr>
          </w:p>
        </w:tc>
        <w:tc>
          <w:tcPr>
            <w:tcW w:w="4394" w:type="dxa"/>
          </w:tcPr>
          <w:p w14:paraId="646CF22C" w14:textId="1EB48E10"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 xml:space="preserve">Species of parasitaemia </w:t>
            </w:r>
            <w:r w:rsidR="00AB3302" w:rsidRPr="00D2381A">
              <w:rPr>
                <w:rFonts w:ascii="Arial" w:hAnsi="Arial" w:cs="Arial"/>
                <w:b/>
                <w:color w:val="2E74B5" w:themeColor="accent5" w:themeShade="BF"/>
              </w:rPr>
              <w:t>per parasitaemic episode</w:t>
            </w:r>
          </w:p>
        </w:tc>
        <w:tc>
          <w:tcPr>
            <w:tcW w:w="2410" w:type="dxa"/>
          </w:tcPr>
          <w:p w14:paraId="42936FC1" w14:textId="77777777" w:rsidR="00157EE5" w:rsidRPr="00D2381A" w:rsidRDefault="00157EE5" w:rsidP="00E43FDF">
            <w:pPr>
              <w:rPr>
                <w:rFonts w:ascii="Arial" w:hAnsi="Arial" w:cs="Arial"/>
                <w:b/>
                <w:color w:val="2E74B5" w:themeColor="accent5" w:themeShade="BF"/>
              </w:rPr>
            </w:pPr>
            <w:r w:rsidRPr="00D2381A">
              <w:rPr>
                <w:rFonts w:ascii="Arial" w:hAnsi="Arial" w:cs="Arial"/>
                <w:b/>
                <w:color w:val="2E74B5" w:themeColor="accent5" w:themeShade="BF"/>
              </w:rPr>
              <w:t>Essential</w:t>
            </w:r>
          </w:p>
        </w:tc>
      </w:tr>
      <w:tr w:rsidR="00AB3302" w:rsidRPr="005E04A8" w14:paraId="17354418" w14:textId="77777777" w:rsidTr="00E86B6F">
        <w:trPr>
          <w:trHeight w:val="506"/>
        </w:trPr>
        <w:tc>
          <w:tcPr>
            <w:tcW w:w="2405" w:type="dxa"/>
          </w:tcPr>
          <w:p w14:paraId="5FBDEDE7" w14:textId="77777777" w:rsidR="00AB3302" w:rsidRPr="005E04A8" w:rsidRDefault="00AB3302" w:rsidP="00E43FDF">
            <w:pPr>
              <w:rPr>
                <w:rFonts w:ascii="Arial" w:hAnsi="Arial" w:cs="Arial"/>
                <w:b/>
              </w:rPr>
            </w:pPr>
          </w:p>
        </w:tc>
        <w:tc>
          <w:tcPr>
            <w:tcW w:w="4394" w:type="dxa"/>
          </w:tcPr>
          <w:p w14:paraId="145C9F39" w14:textId="5DE9F668" w:rsidR="00AB3302" w:rsidRPr="00AB3302" w:rsidRDefault="00AB3302" w:rsidP="00E43FDF">
            <w:pPr>
              <w:rPr>
                <w:rFonts w:ascii="Arial" w:hAnsi="Arial" w:cs="Arial"/>
                <w:bCs/>
                <w:color w:val="FF0000"/>
              </w:rPr>
            </w:pPr>
            <w:r w:rsidRPr="00AB3302">
              <w:rPr>
                <w:rFonts w:ascii="Arial" w:hAnsi="Arial" w:cs="Arial"/>
                <w:bCs/>
              </w:rPr>
              <w:t>Microscopy quality assurance information</w:t>
            </w:r>
          </w:p>
        </w:tc>
        <w:tc>
          <w:tcPr>
            <w:tcW w:w="2410" w:type="dxa"/>
          </w:tcPr>
          <w:p w14:paraId="4054FB30" w14:textId="548918FD" w:rsidR="00AB3302" w:rsidRPr="00AB3302" w:rsidRDefault="00AB3302" w:rsidP="00E43FDF">
            <w:pPr>
              <w:rPr>
                <w:rFonts w:ascii="Arial" w:hAnsi="Arial" w:cs="Arial"/>
                <w:bCs/>
                <w:color w:val="FF0000"/>
              </w:rPr>
            </w:pPr>
            <w:r w:rsidRPr="00AB3302">
              <w:rPr>
                <w:rFonts w:ascii="Arial" w:hAnsi="Arial" w:cs="Arial"/>
                <w:bCs/>
              </w:rPr>
              <w:t>Desirable</w:t>
            </w:r>
          </w:p>
        </w:tc>
      </w:tr>
      <w:tr w:rsidR="00157EE5" w:rsidRPr="005E04A8" w14:paraId="6DE27075" w14:textId="77777777" w:rsidTr="00E86B6F">
        <w:trPr>
          <w:trHeight w:val="506"/>
        </w:trPr>
        <w:tc>
          <w:tcPr>
            <w:tcW w:w="2405" w:type="dxa"/>
          </w:tcPr>
          <w:p w14:paraId="1CE97376" w14:textId="77777777" w:rsidR="00157EE5" w:rsidRPr="005E04A8" w:rsidRDefault="00157EE5" w:rsidP="00E43FDF">
            <w:pPr>
              <w:rPr>
                <w:rFonts w:ascii="Arial" w:hAnsi="Arial" w:cs="Arial"/>
                <w:b/>
              </w:rPr>
            </w:pPr>
          </w:p>
        </w:tc>
        <w:tc>
          <w:tcPr>
            <w:tcW w:w="4394" w:type="dxa"/>
          </w:tcPr>
          <w:p w14:paraId="42FF34A8" w14:textId="77777777" w:rsidR="00157EE5" w:rsidRPr="00365DDC" w:rsidRDefault="00157EE5" w:rsidP="00E43FDF">
            <w:pPr>
              <w:rPr>
                <w:rFonts w:ascii="Arial" w:hAnsi="Arial" w:cs="Arial"/>
              </w:rPr>
            </w:pPr>
            <w:r>
              <w:rPr>
                <w:rFonts w:ascii="Arial" w:hAnsi="Arial" w:cs="Arial"/>
              </w:rPr>
              <w:t>Number of recurrences per participant</w:t>
            </w:r>
          </w:p>
        </w:tc>
        <w:tc>
          <w:tcPr>
            <w:tcW w:w="2410" w:type="dxa"/>
          </w:tcPr>
          <w:p w14:paraId="5393F31D" w14:textId="77777777" w:rsidR="00157EE5" w:rsidRPr="000E0E99" w:rsidRDefault="00157EE5" w:rsidP="00E43FDF">
            <w:pPr>
              <w:rPr>
                <w:rFonts w:ascii="Arial" w:hAnsi="Arial" w:cs="Arial"/>
                <w:color w:val="FF0000"/>
              </w:rPr>
            </w:pPr>
            <w:r w:rsidRPr="000E0E99">
              <w:rPr>
                <w:rFonts w:ascii="Arial" w:hAnsi="Arial" w:cs="Arial"/>
              </w:rPr>
              <w:t>Desirable</w:t>
            </w:r>
          </w:p>
        </w:tc>
      </w:tr>
      <w:tr w:rsidR="00157EE5" w:rsidRPr="005E04A8" w14:paraId="2A915334" w14:textId="77777777" w:rsidTr="00E86B6F">
        <w:trPr>
          <w:trHeight w:val="506"/>
        </w:trPr>
        <w:tc>
          <w:tcPr>
            <w:tcW w:w="2405" w:type="dxa"/>
          </w:tcPr>
          <w:p w14:paraId="230118F0" w14:textId="77777777" w:rsidR="00157EE5" w:rsidRPr="005E04A8" w:rsidRDefault="00157EE5" w:rsidP="00E43FDF">
            <w:pPr>
              <w:rPr>
                <w:rFonts w:ascii="Arial" w:hAnsi="Arial" w:cs="Arial"/>
                <w:b/>
              </w:rPr>
            </w:pPr>
            <w:r w:rsidRPr="005E04A8">
              <w:rPr>
                <w:rFonts w:ascii="Arial" w:hAnsi="Arial" w:cs="Arial"/>
                <w:b/>
              </w:rPr>
              <w:t>Other laboratory tests</w:t>
            </w:r>
          </w:p>
        </w:tc>
        <w:tc>
          <w:tcPr>
            <w:tcW w:w="4394" w:type="dxa"/>
          </w:tcPr>
          <w:p w14:paraId="7C268055" w14:textId="77777777" w:rsidR="00157EE5" w:rsidRPr="005E04A8" w:rsidRDefault="00157EE5" w:rsidP="00E43FDF">
            <w:pPr>
              <w:rPr>
                <w:rFonts w:ascii="Arial" w:hAnsi="Arial" w:cs="Arial"/>
              </w:rPr>
            </w:pPr>
            <w:r w:rsidRPr="005E04A8">
              <w:rPr>
                <w:rFonts w:ascii="Arial" w:hAnsi="Arial" w:cs="Arial"/>
              </w:rPr>
              <w:t>Haemoglobin</w:t>
            </w:r>
            <w:r>
              <w:rPr>
                <w:rFonts w:ascii="Arial" w:hAnsi="Arial" w:cs="Arial"/>
              </w:rPr>
              <w:t xml:space="preserve"> at enrolment and recurrence</w:t>
            </w:r>
          </w:p>
        </w:tc>
        <w:tc>
          <w:tcPr>
            <w:tcW w:w="2410" w:type="dxa"/>
          </w:tcPr>
          <w:p w14:paraId="6C163237" w14:textId="77777777" w:rsidR="00157EE5" w:rsidRPr="005E04A8" w:rsidRDefault="00157EE5" w:rsidP="00E43FDF">
            <w:pPr>
              <w:rPr>
                <w:rFonts w:ascii="Arial" w:hAnsi="Arial" w:cs="Arial"/>
              </w:rPr>
            </w:pPr>
            <w:r w:rsidRPr="005E04A8">
              <w:rPr>
                <w:rFonts w:ascii="Arial" w:hAnsi="Arial" w:cs="Arial"/>
              </w:rPr>
              <w:t>Desirable</w:t>
            </w:r>
          </w:p>
        </w:tc>
      </w:tr>
      <w:tr w:rsidR="00157EE5" w:rsidRPr="005E04A8" w14:paraId="2AB606F4" w14:textId="77777777" w:rsidTr="00E86B6F">
        <w:trPr>
          <w:trHeight w:val="506"/>
        </w:trPr>
        <w:tc>
          <w:tcPr>
            <w:tcW w:w="2405" w:type="dxa"/>
          </w:tcPr>
          <w:p w14:paraId="2431C909" w14:textId="77777777" w:rsidR="00157EE5" w:rsidRPr="005E04A8" w:rsidRDefault="00157EE5" w:rsidP="00E43FDF">
            <w:pPr>
              <w:rPr>
                <w:rFonts w:ascii="Arial" w:hAnsi="Arial" w:cs="Arial"/>
                <w:b/>
              </w:rPr>
            </w:pPr>
            <w:r>
              <w:rPr>
                <w:rFonts w:ascii="Arial" w:hAnsi="Arial" w:cs="Arial"/>
                <w:b/>
              </w:rPr>
              <w:lastRenderedPageBreak/>
              <w:t>Treatment</w:t>
            </w:r>
          </w:p>
        </w:tc>
        <w:tc>
          <w:tcPr>
            <w:tcW w:w="4394" w:type="dxa"/>
          </w:tcPr>
          <w:p w14:paraId="24FA1B43" w14:textId="77777777" w:rsidR="00157EE5" w:rsidRPr="005E04A8" w:rsidRDefault="00157EE5" w:rsidP="00E43FDF">
            <w:pPr>
              <w:rPr>
                <w:rFonts w:ascii="Arial" w:hAnsi="Arial" w:cs="Arial"/>
              </w:rPr>
            </w:pPr>
            <w:r>
              <w:rPr>
                <w:rFonts w:ascii="Arial" w:hAnsi="Arial" w:cs="Arial"/>
              </w:rPr>
              <w:t>Schizontocidal treatment(s) tested</w:t>
            </w:r>
          </w:p>
        </w:tc>
        <w:tc>
          <w:tcPr>
            <w:tcW w:w="2410" w:type="dxa"/>
          </w:tcPr>
          <w:p w14:paraId="29F4ADA3" w14:textId="77777777" w:rsidR="00157EE5" w:rsidRPr="005E04A8" w:rsidRDefault="00157EE5" w:rsidP="00E43FDF">
            <w:pPr>
              <w:rPr>
                <w:rFonts w:ascii="Arial" w:hAnsi="Arial" w:cs="Arial"/>
              </w:rPr>
            </w:pPr>
            <w:r>
              <w:rPr>
                <w:rFonts w:ascii="Arial" w:hAnsi="Arial" w:cs="Arial"/>
              </w:rPr>
              <w:t>Desirable</w:t>
            </w:r>
          </w:p>
        </w:tc>
      </w:tr>
      <w:tr w:rsidR="00AB3302" w:rsidRPr="005E04A8" w14:paraId="4AA7C694" w14:textId="77777777" w:rsidTr="00E86B6F">
        <w:trPr>
          <w:trHeight w:val="506"/>
        </w:trPr>
        <w:tc>
          <w:tcPr>
            <w:tcW w:w="2405" w:type="dxa"/>
          </w:tcPr>
          <w:p w14:paraId="1F04120A" w14:textId="77777777" w:rsidR="00AB3302" w:rsidRDefault="00AB3302" w:rsidP="00E43FDF">
            <w:pPr>
              <w:rPr>
                <w:rFonts w:ascii="Arial" w:hAnsi="Arial" w:cs="Arial"/>
                <w:b/>
              </w:rPr>
            </w:pPr>
          </w:p>
        </w:tc>
        <w:tc>
          <w:tcPr>
            <w:tcW w:w="4394" w:type="dxa"/>
          </w:tcPr>
          <w:p w14:paraId="7A34CBCB" w14:textId="244B5900" w:rsidR="00AB3302" w:rsidRDefault="00AB3302" w:rsidP="00E43FDF">
            <w:pPr>
              <w:rPr>
                <w:rFonts w:ascii="Arial" w:hAnsi="Arial" w:cs="Arial"/>
              </w:rPr>
            </w:pPr>
            <w:r>
              <w:rPr>
                <w:rFonts w:ascii="Arial" w:hAnsi="Arial" w:cs="Arial"/>
              </w:rPr>
              <w:t>Administration of schizontocidal treatment for asymptomatic recurrences</w:t>
            </w:r>
          </w:p>
        </w:tc>
        <w:tc>
          <w:tcPr>
            <w:tcW w:w="2410" w:type="dxa"/>
          </w:tcPr>
          <w:p w14:paraId="567B137F" w14:textId="55F25FE5" w:rsidR="00AB3302" w:rsidRDefault="00AB3302" w:rsidP="00E43FDF">
            <w:pPr>
              <w:rPr>
                <w:rFonts w:ascii="Arial" w:hAnsi="Arial" w:cs="Arial"/>
              </w:rPr>
            </w:pPr>
            <w:r>
              <w:rPr>
                <w:rFonts w:ascii="Arial" w:hAnsi="Arial" w:cs="Arial"/>
              </w:rPr>
              <w:t>Desirable</w:t>
            </w:r>
          </w:p>
        </w:tc>
      </w:tr>
      <w:tr w:rsidR="00157EE5" w:rsidRPr="005E04A8" w14:paraId="72304783" w14:textId="77777777" w:rsidTr="00E86B6F">
        <w:trPr>
          <w:trHeight w:val="506"/>
        </w:trPr>
        <w:tc>
          <w:tcPr>
            <w:tcW w:w="2405" w:type="dxa"/>
          </w:tcPr>
          <w:p w14:paraId="24359615" w14:textId="77777777" w:rsidR="00157EE5" w:rsidRDefault="00157EE5" w:rsidP="00E43FDF">
            <w:pPr>
              <w:rPr>
                <w:rFonts w:ascii="Arial" w:hAnsi="Arial" w:cs="Arial"/>
                <w:b/>
              </w:rPr>
            </w:pPr>
          </w:p>
        </w:tc>
        <w:tc>
          <w:tcPr>
            <w:tcW w:w="4394" w:type="dxa"/>
          </w:tcPr>
          <w:p w14:paraId="36CB7C7F" w14:textId="605602AB" w:rsidR="00157EE5" w:rsidRDefault="00157EE5" w:rsidP="00E43FDF">
            <w:pPr>
              <w:rPr>
                <w:rFonts w:ascii="Arial" w:hAnsi="Arial" w:cs="Arial"/>
              </w:rPr>
            </w:pPr>
            <w:r>
              <w:rPr>
                <w:rFonts w:ascii="Arial" w:hAnsi="Arial" w:cs="Arial"/>
              </w:rPr>
              <w:t>8-aminoquinol</w:t>
            </w:r>
            <w:r w:rsidR="00AE55E0">
              <w:rPr>
                <w:rFonts w:ascii="Arial" w:hAnsi="Arial" w:cs="Arial"/>
              </w:rPr>
              <w:t>i</w:t>
            </w:r>
            <w:r>
              <w:rPr>
                <w:rFonts w:ascii="Arial" w:hAnsi="Arial" w:cs="Arial"/>
              </w:rPr>
              <w:t>ne treatment administered</w:t>
            </w:r>
          </w:p>
        </w:tc>
        <w:tc>
          <w:tcPr>
            <w:tcW w:w="2410" w:type="dxa"/>
          </w:tcPr>
          <w:p w14:paraId="3773D7F3" w14:textId="77777777" w:rsidR="00157EE5" w:rsidRPr="005E04A8" w:rsidRDefault="00157EE5" w:rsidP="00E43FDF">
            <w:pPr>
              <w:rPr>
                <w:rFonts w:ascii="Arial" w:hAnsi="Arial" w:cs="Arial"/>
              </w:rPr>
            </w:pPr>
            <w:r>
              <w:rPr>
                <w:rFonts w:ascii="Arial" w:hAnsi="Arial" w:cs="Arial"/>
              </w:rPr>
              <w:t>Desirable</w:t>
            </w:r>
          </w:p>
        </w:tc>
      </w:tr>
      <w:tr w:rsidR="00AB3302" w:rsidRPr="005E04A8" w14:paraId="2392B656" w14:textId="77777777" w:rsidTr="00E86B6F">
        <w:trPr>
          <w:trHeight w:val="506"/>
        </w:trPr>
        <w:tc>
          <w:tcPr>
            <w:tcW w:w="2405" w:type="dxa"/>
          </w:tcPr>
          <w:p w14:paraId="01169D0A" w14:textId="77777777" w:rsidR="00AB3302" w:rsidRDefault="00AB3302" w:rsidP="00E43FDF">
            <w:pPr>
              <w:rPr>
                <w:rFonts w:ascii="Arial" w:hAnsi="Arial" w:cs="Arial"/>
                <w:b/>
              </w:rPr>
            </w:pPr>
          </w:p>
        </w:tc>
        <w:tc>
          <w:tcPr>
            <w:tcW w:w="4394" w:type="dxa"/>
          </w:tcPr>
          <w:p w14:paraId="5B9337FC" w14:textId="72647AC8" w:rsidR="00AB3302" w:rsidRDefault="00AB3302" w:rsidP="00E43FDF">
            <w:pPr>
              <w:rPr>
                <w:rFonts w:ascii="Arial" w:hAnsi="Arial" w:cs="Arial"/>
              </w:rPr>
            </w:pPr>
            <w:r>
              <w:rPr>
                <w:rFonts w:ascii="Arial" w:hAnsi="Arial" w:cs="Arial"/>
              </w:rPr>
              <w:t>Timing of 8-aminoquinol</w:t>
            </w:r>
            <w:r w:rsidR="00AE55E0">
              <w:rPr>
                <w:rFonts w:ascii="Arial" w:hAnsi="Arial" w:cs="Arial"/>
              </w:rPr>
              <w:t>i</w:t>
            </w:r>
            <w:r>
              <w:rPr>
                <w:rFonts w:ascii="Arial" w:hAnsi="Arial" w:cs="Arial"/>
              </w:rPr>
              <w:t>ne treatment</w:t>
            </w:r>
          </w:p>
        </w:tc>
        <w:tc>
          <w:tcPr>
            <w:tcW w:w="2410" w:type="dxa"/>
          </w:tcPr>
          <w:p w14:paraId="39D7B6F5" w14:textId="6361D521" w:rsidR="00AB3302" w:rsidRDefault="00AB3302" w:rsidP="00E43FDF">
            <w:pPr>
              <w:rPr>
                <w:rFonts w:ascii="Arial" w:hAnsi="Arial" w:cs="Arial"/>
              </w:rPr>
            </w:pPr>
            <w:r>
              <w:rPr>
                <w:rFonts w:ascii="Arial" w:hAnsi="Arial" w:cs="Arial"/>
              </w:rPr>
              <w:t>Desirable</w:t>
            </w:r>
          </w:p>
        </w:tc>
      </w:tr>
    </w:tbl>
    <w:p w14:paraId="41345C4F" w14:textId="77777777" w:rsidR="00157EE5" w:rsidRPr="009F7966" w:rsidRDefault="00157EE5" w:rsidP="00157EE5">
      <w:pPr>
        <w:spacing w:after="0" w:line="240" w:lineRule="auto"/>
        <w:rPr>
          <w:rFonts w:ascii="Arial" w:hAnsi="Arial" w:cs="Arial"/>
          <w:b/>
          <w:color w:val="0070C0"/>
          <w:sz w:val="28"/>
          <w:szCs w:val="28"/>
        </w:rPr>
      </w:pPr>
    </w:p>
    <w:p w14:paraId="10C615F3" w14:textId="77777777" w:rsidR="00157EE5" w:rsidRPr="00D2381A" w:rsidRDefault="00157EE5" w:rsidP="00157EE5">
      <w:pPr>
        <w:rPr>
          <w:rFonts w:ascii="Arial" w:hAnsi="Arial" w:cs="Arial"/>
          <w:b/>
          <w:color w:val="2E74B5" w:themeColor="accent5" w:themeShade="BF"/>
        </w:rPr>
      </w:pPr>
      <w:r w:rsidRPr="00D2381A">
        <w:rPr>
          <w:rFonts w:ascii="Arial" w:hAnsi="Arial" w:cs="Arial"/>
          <w:b/>
          <w:color w:val="2E74B5" w:themeColor="accent5" w:themeShade="BF"/>
        </w:rPr>
        <w:t>* Ideally both of these variables, although one of the two would be sufficient.</w:t>
      </w:r>
    </w:p>
    <w:p w14:paraId="1A44B730" w14:textId="77777777" w:rsidR="00157EE5" w:rsidRDefault="00157EE5" w:rsidP="00157EE5">
      <w:pPr>
        <w:rPr>
          <w:rFonts w:ascii="Arial" w:hAnsi="Arial" w:cs="Arial"/>
          <w:color w:val="0070C0"/>
        </w:rPr>
      </w:pPr>
    </w:p>
    <w:p w14:paraId="593470D9" w14:textId="77777777" w:rsidR="00157EE5" w:rsidRDefault="00157EE5" w:rsidP="00157EE5">
      <w:pPr>
        <w:rPr>
          <w:rFonts w:ascii="Arial" w:hAnsi="Arial" w:cs="Arial"/>
          <w:color w:val="0070C0"/>
          <w:sz w:val="24"/>
          <w:szCs w:val="24"/>
        </w:rPr>
      </w:pPr>
    </w:p>
    <w:p w14:paraId="50B7F30C" w14:textId="77777777" w:rsidR="00E43FDF" w:rsidRDefault="00E43FDF"/>
    <w:sectPr w:rsidR="00E43FDF">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68DF" w14:textId="77777777" w:rsidR="000F7028" w:rsidRDefault="000F7028" w:rsidP="00001CD2">
      <w:pPr>
        <w:spacing w:after="0" w:line="240" w:lineRule="auto"/>
      </w:pPr>
      <w:r>
        <w:separator/>
      </w:r>
    </w:p>
  </w:endnote>
  <w:endnote w:type="continuationSeparator" w:id="0">
    <w:p w14:paraId="78A1E642" w14:textId="77777777" w:rsidR="000F7028" w:rsidRDefault="000F7028" w:rsidP="0000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EA29" w14:textId="77777777" w:rsidR="000F7028" w:rsidRDefault="000F7028" w:rsidP="00001CD2">
      <w:pPr>
        <w:spacing w:after="0" w:line="240" w:lineRule="auto"/>
      </w:pPr>
      <w:r>
        <w:separator/>
      </w:r>
    </w:p>
  </w:footnote>
  <w:footnote w:type="continuationSeparator" w:id="0">
    <w:p w14:paraId="288CC101" w14:textId="77777777" w:rsidR="000F7028" w:rsidRDefault="000F7028" w:rsidP="00001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C48"/>
    <w:multiLevelType w:val="hybridMultilevel"/>
    <w:tmpl w:val="E1DA2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8790E"/>
    <w:multiLevelType w:val="hybridMultilevel"/>
    <w:tmpl w:val="C7EC42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463752"/>
    <w:multiLevelType w:val="hybridMultilevel"/>
    <w:tmpl w:val="9D3CA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3648BE"/>
    <w:multiLevelType w:val="hybridMultilevel"/>
    <w:tmpl w:val="EE6E7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F50A5"/>
    <w:multiLevelType w:val="hybridMultilevel"/>
    <w:tmpl w:val="0BFE5DE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E42595"/>
    <w:multiLevelType w:val="hybridMultilevel"/>
    <w:tmpl w:val="E2CEA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65CB3"/>
    <w:multiLevelType w:val="hybridMultilevel"/>
    <w:tmpl w:val="05C8306A"/>
    <w:lvl w:ilvl="0" w:tplc="A1F6E3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2C4E1B"/>
    <w:multiLevelType w:val="hybridMultilevel"/>
    <w:tmpl w:val="0DEA13F0"/>
    <w:lvl w:ilvl="0" w:tplc="7FDA31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A0623F"/>
    <w:multiLevelType w:val="hybridMultilevel"/>
    <w:tmpl w:val="F12CAF74"/>
    <w:lvl w:ilvl="0" w:tplc="79B0F04A">
      <w:start w:val="1"/>
      <w:numFmt w:val="decimal"/>
      <w:lvlText w:val="%1."/>
      <w:lvlJc w:val="left"/>
      <w:pPr>
        <w:ind w:left="720" w:hanging="360"/>
      </w:pPr>
      <w:rPr>
        <w:rFonts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6C0703"/>
    <w:multiLevelType w:val="hybridMultilevel"/>
    <w:tmpl w:val="7C96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D7EB7"/>
    <w:multiLevelType w:val="hybridMultilevel"/>
    <w:tmpl w:val="1ACE9A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DB027D"/>
    <w:multiLevelType w:val="hybridMultilevel"/>
    <w:tmpl w:val="5498D9A4"/>
    <w:lvl w:ilvl="0" w:tplc="5948A69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105D25"/>
    <w:multiLevelType w:val="hybridMultilevel"/>
    <w:tmpl w:val="2300FDE4"/>
    <w:lvl w:ilvl="0" w:tplc="150A87D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22708A"/>
    <w:multiLevelType w:val="hybridMultilevel"/>
    <w:tmpl w:val="F4B66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A87114"/>
    <w:multiLevelType w:val="hybridMultilevel"/>
    <w:tmpl w:val="2B023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C83DD6"/>
    <w:multiLevelType w:val="hybridMultilevel"/>
    <w:tmpl w:val="D6307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F9054B"/>
    <w:multiLevelType w:val="hybridMultilevel"/>
    <w:tmpl w:val="B840EC80"/>
    <w:lvl w:ilvl="0" w:tplc="9CA4AF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487A65"/>
    <w:multiLevelType w:val="hybridMultilevel"/>
    <w:tmpl w:val="DF568902"/>
    <w:lvl w:ilvl="0" w:tplc="54FCD66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012E13"/>
    <w:multiLevelType w:val="hybridMultilevel"/>
    <w:tmpl w:val="79B82AA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D386C4B"/>
    <w:multiLevelType w:val="hybridMultilevel"/>
    <w:tmpl w:val="B384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64DEB"/>
    <w:multiLevelType w:val="hybridMultilevel"/>
    <w:tmpl w:val="E8AA7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B100B6"/>
    <w:multiLevelType w:val="hybridMultilevel"/>
    <w:tmpl w:val="CB284FC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40147DB"/>
    <w:multiLevelType w:val="hybridMultilevel"/>
    <w:tmpl w:val="E8688F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B687C"/>
    <w:multiLevelType w:val="hybridMultilevel"/>
    <w:tmpl w:val="0BA61E1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E57FE8"/>
    <w:multiLevelType w:val="multilevel"/>
    <w:tmpl w:val="33A0E848"/>
    <w:lvl w:ilvl="0">
      <w:start w:val="3"/>
      <w:numFmt w:val="decimal"/>
      <w:lvlText w:val="%1"/>
      <w:lvlJc w:val="left"/>
      <w:pPr>
        <w:ind w:left="360" w:hanging="360"/>
      </w:pPr>
      <w:rPr>
        <w:rFonts w:hint="default"/>
        <w:b w:val="0"/>
        <w:color w:val="auto"/>
        <w:sz w:val="22"/>
      </w:rPr>
    </w:lvl>
    <w:lvl w:ilvl="1">
      <w:start w:val="1"/>
      <w:numFmt w:val="decimal"/>
      <w:lvlText w:val="%1.%2"/>
      <w:lvlJc w:val="left"/>
      <w:pPr>
        <w:ind w:left="1440" w:hanging="720"/>
      </w:pPr>
      <w:rPr>
        <w:rFonts w:hint="default"/>
        <w:b w:val="0"/>
        <w:color w:val="2E74B5" w:themeColor="accent5" w:themeShade="BF"/>
        <w:sz w:val="22"/>
      </w:rPr>
    </w:lvl>
    <w:lvl w:ilvl="2">
      <w:start w:val="1"/>
      <w:numFmt w:val="decimal"/>
      <w:lvlText w:val="%1.%2.%3"/>
      <w:lvlJc w:val="left"/>
      <w:pPr>
        <w:ind w:left="2160" w:hanging="720"/>
      </w:pPr>
      <w:rPr>
        <w:rFonts w:hint="default"/>
        <w:b w:val="0"/>
        <w:color w:val="auto"/>
        <w:sz w:val="22"/>
      </w:rPr>
    </w:lvl>
    <w:lvl w:ilvl="3">
      <w:start w:val="1"/>
      <w:numFmt w:val="decimal"/>
      <w:lvlText w:val="%1.%2.%3.%4"/>
      <w:lvlJc w:val="left"/>
      <w:pPr>
        <w:ind w:left="3240" w:hanging="1080"/>
      </w:pPr>
      <w:rPr>
        <w:rFonts w:hint="default"/>
        <w:b w:val="0"/>
        <w:color w:val="auto"/>
        <w:sz w:val="22"/>
      </w:rPr>
    </w:lvl>
    <w:lvl w:ilvl="4">
      <w:start w:val="1"/>
      <w:numFmt w:val="decimal"/>
      <w:lvlText w:val="%1.%2.%3.%4.%5"/>
      <w:lvlJc w:val="left"/>
      <w:pPr>
        <w:ind w:left="4320" w:hanging="1440"/>
      </w:pPr>
      <w:rPr>
        <w:rFonts w:hint="default"/>
        <w:b w:val="0"/>
        <w:color w:val="auto"/>
        <w:sz w:val="22"/>
      </w:rPr>
    </w:lvl>
    <w:lvl w:ilvl="5">
      <w:start w:val="1"/>
      <w:numFmt w:val="decimal"/>
      <w:lvlText w:val="%1.%2.%3.%4.%5.%6"/>
      <w:lvlJc w:val="left"/>
      <w:pPr>
        <w:ind w:left="5040" w:hanging="1440"/>
      </w:pPr>
      <w:rPr>
        <w:rFonts w:hint="default"/>
        <w:b w:val="0"/>
        <w:color w:val="auto"/>
        <w:sz w:val="22"/>
      </w:rPr>
    </w:lvl>
    <w:lvl w:ilvl="6">
      <w:start w:val="1"/>
      <w:numFmt w:val="decimal"/>
      <w:lvlText w:val="%1.%2.%3.%4.%5.%6.%7"/>
      <w:lvlJc w:val="left"/>
      <w:pPr>
        <w:ind w:left="6120" w:hanging="1800"/>
      </w:pPr>
      <w:rPr>
        <w:rFonts w:hint="default"/>
        <w:b w:val="0"/>
        <w:color w:val="auto"/>
        <w:sz w:val="22"/>
      </w:rPr>
    </w:lvl>
    <w:lvl w:ilvl="7">
      <w:start w:val="1"/>
      <w:numFmt w:val="decimal"/>
      <w:lvlText w:val="%1.%2.%3.%4.%5.%6.%7.%8"/>
      <w:lvlJc w:val="left"/>
      <w:pPr>
        <w:ind w:left="6840" w:hanging="1800"/>
      </w:pPr>
      <w:rPr>
        <w:rFonts w:hint="default"/>
        <w:b w:val="0"/>
        <w:color w:val="auto"/>
        <w:sz w:val="22"/>
      </w:rPr>
    </w:lvl>
    <w:lvl w:ilvl="8">
      <w:start w:val="1"/>
      <w:numFmt w:val="decimal"/>
      <w:lvlText w:val="%1.%2.%3.%4.%5.%6.%7.%8.%9"/>
      <w:lvlJc w:val="left"/>
      <w:pPr>
        <w:ind w:left="7920" w:hanging="2160"/>
      </w:pPr>
      <w:rPr>
        <w:rFonts w:hint="default"/>
        <w:b w:val="0"/>
        <w:color w:val="auto"/>
        <w:sz w:val="22"/>
      </w:rPr>
    </w:lvl>
  </w:abstractNum>
  <w:abstractNum w:abstractNumId="25" w15:restartNumberingAfterBreak="0">
    <w:nsid w:val="47D57B3C"/>
    <w:multiLevelType w:val="multilevel"/>
    <w:tmpl w:val="F9F2582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8329CE"/>
    <w:multiLevelType w:val="hybridMultilevel"/>
    <w:tmpl w:val="07B2784C"/>
    <w:lvl w:ilvl="0" w:tplc="150A87D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B7C25"/>
    <w:multiLevelType w:val="hybridMultilevel"/>
    <w:tmpl w:val="C34001E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C2B4F65"/>
    <w:multiLevelType w:val="hybridMultilevel"/>
    <w:tmpl w:val="3438B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71C5C"/>
    <w:multiLevelType w:val="hybridMultilevel"/>
    <w:tmpl w:val="425AED92"/>
    <w:lvl w:ilvl="0" w:tplc="150A87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8A72FF"/>
    <w:multiLevelType w:val="hybridMultilevel"/>
    <w:tmpl w:val="F27060B0"/>
    <w:lvl w:ilvl="0" w:tplc="3E30476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134E41"/>
    <w:multiLevelType w:val="hybridMultilevel"/>
    <w:tmpl w:val="FF2A9AC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C905E2"/>
    <w:multiLevelType w:val="hybridMultilevel"/>
    <w:tmpl w:val="69C2A91C"/>
    <w:lvl w:ilvl="0" w:tplc="98547BA8">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F331B9"/>
    <w:multiLevelType w:val="hybridMultilevel"/>
    <w:tmpl w:val="0DEA13F0"/>
    <w:lvl w:ilvl="0" w:tplc="7FDA31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3170F6"/>
    <w:multiLevelType w:val="hybridMultilevel"/>
    <w:tmpl w:val="A280810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5C3E0F31"/>
    <w:multiLevelType w:val="hybridMultilevel"/>
    <w:tmpl w:val="4ADA1ECA"/>
    <w:lvl w:ilvl="0" w:tplc="475E6E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99158B"/>
    <w:multiLevelType w:val="hybridMultilevel"/>
    <w:tmpl w:val="517C543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8E0259E"/>
    <w:multiLevelType w:val="hybridMultilevel"/>
    <w:tmpl w:val="5C9C331E"/>
    <w:lvl w:ilvl="0" w:tplc="9CA4AF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A105DF"/>
    <w:multiLevelType w:val="multilevel"/>
    <w:tmpl w:val="C5DABD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1646A60"/>
    <w:multiLevelType w:val="hybridMultilevel"/>
    <w:tmpl w:val="6FB87654"/>
    <w:lvl w:ilvl="0" w:tplc="3B68910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02C7E"/>
    <w:multiLevelType w:val="hybridMultilevel"/>
    <w:tmpl w:val="9F1A13C4"/>
    <w:lvl w:ilvl="0" w:tplc="0C09000F">
      <w:start w:val="1"/>
      <w:numFmt w:val="decimal"/>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6A907A6"/>
    <w:multiLevelType w:val="hybridMultilevel"/>
    <w:tmpl w:val="43D6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72D0B"/>
    <w:multiLevelType w:val="hybridMultilevel"/>
    <w:tmpl w:val="8376C2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19569774">
    <w:abstractNumId w:val="11"/>
  </w:num>
  <w:num w:numId="2" w16cid:durableId="1188180710">
    <w:abstractNumId w:val="14"/>
  </w:num>
  <w:num w:numId="3" w16cid:durableId="199129307">
    <w:abstractNumId w:val="38"/>
  </w:num>
  <w:num w:numId="4" w16cid:durableId="1405029700">
    <w:abstractNumId w:val="31"/>
  </w:num>
  <w:num w:numId="5" w16cid:durableId="315762271">
    <w:abstractNumId w:val="20"/>
  </w:num>
  <w:num w:numId="6" w16cid:durableId="112135069">
    <w:abstractNumId w:val="13"/>
  </w:num>
  <w:num w:numId="7" w16cid:durableId="545678700">
    <w:abstractNumId w:val="0"/>
  </w:num>
  <w:num w:numId="8" w16cid:durableId="1279146725">
    <w:abstractNumId w:val="15"/>
  </w:num>
  <w:num w:numId="9" w16cid:durableId="1093743018">
    <w:abstractNumId w:val="22"/>
  </w:num>
  <w:num w:numId="10" w16cid:durableId="2131317619">
    <w:abstractNumId w:val="40"/>
  </w:num>
  <w:num w:numId="11" w16cid:durableId="1850558928">
    <w:abstractNumId w:val="7"/>
  </w:num>
  <w:num w:numId="12" w16cid:durableId="669213648">
    <w:abstractNumId w:val="33"/>
  </w:num>
  <w:num w:numId="13" w16cid:durableId="2096239615">
    <w:abstractNumId w:val="8"/>
  </w:num>
  <w:num w:numId="14" w16cid:durableId="1957757588">
    <w:abstractNumId w:val="42"/>
  </w:num>
  <w:num w:numId="15" w16cid:durableId="1466780223">
    <w:abstractNumId w:val="23"/>
  </w:num>
  <w:num w:numId="16" w16cid:durableId="388650432">
    <w:abstractNumId w:val="1"/>
  </w:num>
  <w:num w:numId="17" w16cid:durableId="1615287337">
    <w:abstractNumId w:val="6"/>
  </w:num>
  <w:num w:numId="18" w16cid:durableId="481895153">
    <w:abstractNumId w:val="32"/>
  </w:num>
  <w:num w:numId="19" w16cid:durableId="594483049">
    <w:abstractNumId w:val="37"/>
  </w:num>
  <w:num w:numId="20" w16cid:durableId="1836527818">
    <w:abstractNumId w:val="29"/>
  </w:num>
  <w:num w:numId="21" w16cid:durableId="2144957351">
    <w:abstractNumId w:val="35"/>
  </w:num>
  <w:num w:numId="22" w16cid:durableId="2084639870">
    <w:abstractNumId w:val="2"/>
  </w:num>
  <w:num w:numId="23" w16cid:durableId="1965309421">
    <w:abstractNumId w:val="17"/>
  </w:num>
  <w:num w:numId="24" w16cid:durableId="214465551">
    <w:abstractNumId w:val="16"/>
  </w:num>
  <w:num w:numId="25" w16cid:durableId="1817214167">
    <w:abstractNumId w:val="41"/>
  </w:num>
  <w:num w:numId="26" w16cid:durableId="89008686">
    <w:abstractNumId w:val="9"/>
  </w:num>
  <w:num w:numId="27" w16cid:durableId="1106005184">
    <w:abstractNumId w:val="3"/>
  </w:num>
  <w:num w:numId="28" w16cid:durableId="1105267997">
    <w:abstractNumId w:val="10"/>
  </w:num>
  <w:num w:numId="29" w16cid:durableId="5132889">
    <w:abstractNumId w:val="5"/>
  </w:num>
  <w:num w:numId="30" w16cid:durableId="490876627">
    <w:abstractNumId w:val="28"/>
  </w:num>
  <w:num w:numId="31" w16cid:durableId="1262297939">
    <w:abstractNumId w:val="27"/>
  </w:num>
  <w:num w:numId="32" w16cid:durableId="4328474">
    <w:abstractNumId w:val="36"/>
  </w:num>
  <w:num w:numId="33" w16cid:durableId="1478256064">
    <w:abstractNumId w:val="34"/>
  </w:num>
  <w:num w:numId="34" w16cid:durableId="605968816">
    <w:abstractNumId w:val="21"/>
  </w:num>
  <w:num w:numId="35" w16cid:durableId="2021271933">
    <w:abstractNumId w:val="18"/>
  </w:num>
  <w:num w:numId="36" w16cid:durableId="1555040306">
    <w:abstractNumId w:val="24"/>
  </w:num>
  <w:num w:numId="37" w16cid:durableId="1752651879">
    <w:abstractNumId w:val="25"/>
  </w:num>
  <w:num w:numId="38" w16cid:durableId="1199852750">
    <w:abstractNumId w:val="4"/>
  </w:num>
  <w:num w:numId="39" w16cid:durableId="717777881">
    <w:abstractNumId w:val="12"/>
  </w:num>
  <w:num w:numId="40" w16cid:durableId="966470323">
    <w:abstractNumId w:val="26"/>
  </w:num>
  <w:num w:numId="41" w16cid:durableId="168568105">
    <w:abstractNumId w:val="30"/>
  </w:num>
  <w:num w:numId="42" w16cid:durableId="2021275808">
    <w:abstractNumId w:val="19"/>
  </w:num>
  <w:num w:numId="43" w16cid:durableId="1496189509">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E5"/>
    <w:rsid w:val="00001CD2"/>
    <w:rsid w:val="000035FE"/>
    <w:rsid w:val="00004FC3"/>
    <w:rsid w:val="0000500D"/>
    <w:rsid w:val="00007829"/>
    <w:rsid w:val="00012E0D"/>
    <w:rsid w:val="000205DB"/>
    <w:rsid w:val="00033665"/>
    <w:rsid w:val="000340FA"/>
    <w:rsid w:val="000352AB"/>
    <w:rsid w:val="00035EE4"/>
    <w:rsid w:val="00036996"/>
    <w:rsid w:val="00036EB7"/>
    <w:rsid w:val="00037415"/>
    <w:rsid w:val="00040415"/>
    <w:rsid w:val="0004437F"/>
    <w:rsid w:val="00047732"/>
    <w:rsid w:val="000501DA"/>
    <w:rsid w:val="00051F37"/>
    <w:rsid w:val="00060330"/>
    <w:rsid w:val="0007023F"/>
    <w:rsid w:val="00070C8E"/>
    <w:rsid w:val="00073020"/>
    <w:rsid w:val="00073755"/>
    <w:rsid w:val="00077C7C"/>
    <w:rsid w:val="00083EF7"/>
    <w:rsid w:val="000862A9"/>
    <w:rsid w:val="00092B36"/>
    <w:rsid w:val="0009581B"/>
    <w:rsid w:val="000B04A2"/>
    <w:rsid w:val="000B0D23"/>
    <w:rsid w:val="000C0E0E"/>
    <w:rsid w:val="000C3A3E"/>
    <w:rsid w:val="000C6553"/>
    <w:rsid w:val="000C7CA8"/>
    <w:rsid w:val="000E74DD"/>
    <w:rsid w:val="000F7028"/>
    <w:rsid w:val="00102214"/>
    <w:rsid w:val="00102C98"/>
    <w:rsid w:val="00104AEC"/>
    <w:rsid w:val="00114F4E"/>
    <w:rsid w:val="00121CA4"/>
    <w:rsid w:val="0012300F"/>
    <w:rsid w:val="001237E6"/>
    <w:rsid w:val="00123FB8"/>
    <w:rsid w:val="00125F24"/>
    <w:rsid w:val="00132729"/>
    <w:rsid w:val="001354FD"/>
    <w:rsid w:val="00137087"/>
    <w:rsid w:val="00140ADA"/>
    <w:rsid w:val="0014221F"/>
    <w:rsid w:val="0014251B"/>
    <w:rsid w:val="00146309"/>
    <w:rsid w:val="00152B3A"/>
    <w:rsid w:val="00157EE5"/>
    <w:rsid w:val="001633CC"/>
    <w:rsid w:val="00164623"/>
    <w:rsid w:val="00177D44"/>
    <w:rsid w:val="00180957"/>
    <w:rsid w:val="001825B1"/>
    <w:rsid w:val="00183232"/>
    <w:rsid w:val="0018503F"/>
    <w:rsid w:val="00191853"/>
    <w:rsid w:val="001A6788"/>
    <w:rsid w:val="001B0859"/>
    <w:rsid w:val="001B6878"/>
    <w:rsid w:val="001C5E76"/>
    <w:rsid w:val="001C6EAD"/>
    <w:rsid w:val="001D4337"/>
    <w:rsid w:val="001D4788"/>
    <w:rsid w:val="001D59A1"/>
    <w:rsid w:val="001E019D"/>
    <w:rsid w:val="001E381C"/>
    <w:rsid w:val="001E7507"/>
    <w:rsid w:val="001F3544"/>
    <w:rsid w:val="001F61D7"/>
    <w:rsid w:val="0020637C"/>
    <w:rsid w:val="00207536"/>
    <w:rsid w:val="002167A5"/>
    <w:rsid w:val="002172F7"/>
    <w:rsid w:val="00220655"/>
    <w:rsid w:val="00234C26"/>
    <w:rsid w:val="002417A3"/>
    <w:rsid w:val="0024409E"/>
    <w:rsid w:val="002465AE"/>
    <w:rsid w:val="00251C77"/>
    <w:rsid w:val="00267A77"/>
    <w:rsid w:val="00282592"/>
    <w:rsid w:val="002832C2"/>
    <w:rsid w:val="00290634"/>
    <w:rsid w:val="00291FEB"/>
    <w:rsid w:val="00294745"/>
    <w:rsid w:val="002965B9"/>
    <w:rsid w:val="002A02DB"/>
    <w:rsid w:val="002A7E10"/>
    <w:rsid w:val="002B41A9"/>
    <w:rsid w:val="002C019A"/>
    <w:rsid w:val="002C299C"/>
    <w:rsid w:val="002C39E9"/>
    <w:rsid w:val="002C520B"/>
    <w:rsid w:val="002C6DFC"/>
    <w:rsid w:val="002D1265"/>
    <w:rsid w:val="002D2522"/>
    <w:rsid w:val="002D3896"/>
    <w:rsid w:val="002D402A"/>
    <w:rsid w:val="002E3551"/>
    <w:rsid w:val="002E37C7"/>
    <w:rsid w:val="002E7662"/>
    <w:rsid w:val="002F397B"/>
    <w:rsid w:val="00302054"/>
    <w:rsid w:val="003074D6"/>
    <w:rsid w:val="00310E45"/>
    <w:rsid w:val="003118C4"/>
    <w:rsid w:val="0031336F"/>
    <w:rsid w:val="0031377B"/>
    <w:rsid w:val="00324029"/>
    <w:rsid w:val="0032630D"/>
    <w:rsid w:val="00331D68"/>
    <w:rsid w:val="00332FE0"/>
    <w:rsid w:val="00333CB5"/>
    <w:rsid w:val="0033403C"/>
    <w:rsid w:val="00335B33"/>
    <w:rsid w:val="00340D02"/>
    <w:rsid w:val="003603A9"/>
    <w:rsid w:val="00360842"/>
    <w:rsid w:val="00362B36"/>
    <w:rsid w:val="0036347C"/>
    <w:rsid w:val="00374E88"/>
    <w:rsid w:val="00381566"/>
    <w:rsid w:val="00386B06"/>
    <w:rsid w:val="00392321"/>
    <w:rsid w:val="00393731"/>
    <w:rsid w:val="003A4789"/>
    <w:rsid w:val="003A5058"/>
    <w:rsid w:val="003C0D39"/>
    <w:rsid w:val="003C1995"/>
    <w:rsid w:val="003D418D"/>
    <w:rsid w:val="003D7C0D"/>
    <w:rsid w:val="003E02BC"/>
    <w:rsid w:val="003E2180"/>
    <w:rsid w:val="003F06D4"/>
    <w:rsid w:val="00412D9A"/>
    <w:rsid w:val="00423881"/>
    <w:rsid w:val="0042547A"/>
    <w:rsid w:val="004270F3"/>
    <w:rsid w:val="004301FB"/>
    <w:rsid w:val="004317FE"/>
    <w:rsid w:val="00432A62"/>
    <w:rsid w:val="004341C7"/>
    <w:rsid w:val="00453F63"/>
    <w:rsid w:val="00454464"/>
    <w:rsid w:val="00457A51"/>
    <w:rsid w:val="004671AE"/>
    <w:rsid w:val="00467303"/>
    <w:rsid w:val="00470557"/>
    <w:rsid w:val="0047288F"/>
    <w:rsid w:val="00475A6A"/>
    <w:rsid w:val="004802F6"/>
    <w:rsid w:val="004803F5"/>
    <w:rsid w:val="00487C96"/>
    <w:rsid w:val="004A0130"/>
    <w:rsid w:val="004A2E84"/>
    <w:rsid w:val="004A4D2A"/>
    <w:rsid w:val="004A694C"/>
    <w:rsid w:val="004A777C"/>
    <w:rsid w:val="004B428B"/>
    <w:rsid w:val="004B6D83"/>
    <w:rsid w:val="004B7B82"/>
    <w:rsid w:val="004C4523"/>
    <w:rsid w:val="004E0048"/>
    <w:rsid w:val="004E1897"/>
    <w:rsid w:val="004E4D97"/>
    <w:rsid w:val="004E7021"/>
    <w:rsid w:val="004E7BDA"/>
    <w:rsid w:val="004F1AC5"/>
    <w:rsid w:val="004F6E61"/>
    <w:rsid w:val="0051174D"/>
    <w:rsid w:val="00511CAB"/>
    <w:rsid w:val="00517351"/>
    <w:rsid w:val="00517682"/>
    <w:rsid w:val="005308C0"/>
    <w:rsid w:val="005334C1"/>
    <w:rsid w:val="0054540D"/>
    <w:rsid w:val="005469B6"/>
    <w:rsid w:val="005536CE"/>
    <w:rsid w:val="0055548B"/>
    <w:rsid w:val="00557D1A"/>
    <w:rsid w:val="005621E3"/>
    <w:rsid w:val="0056489A"/>
    <w:rsid w:val="00571091"/>
    <w:rsid w:val="005714E4"/>
    <w:rsid w:val="005801E3"/>
    <w:rsid w:val="00581564"/>
    <w:rsid w:val="00584EEB"/>
    <w:rsid w:val="00593C0A"/>
    <w:rsid w:val="005A3025"/>
    <w:rsid w:val="005B25F3"/>
    <w:rsid w:val="005B2807"/>
    <w:rsid w:val="005B5210"/>
    <w:rsid w:val="005C0A72"/>
    <w:rsid w:val="005C442A"/>
    <w:rsid w:val="005C4B34"/>
    <w:rsid w:val="005C7C8A"/>
    <w:rsid w:val="005D1DFF"/>
    <w:rsid w:val="005D1FC4"/>
    <w:rsid w:val="005D31A9"/>
    <w:rsid w:val="005D32B6"/>
    <w:rsid w:val="005F05CE"/>
    <w:rsid w:val="005F1857"/>
    <w:rsid w:val="005F37A7"/>
    <w:rsid w:val="005F4255"/>
    <w:rsid w:val="005F5D77"/>
    <w:rsid w:val="005F704E"/>
    <w:rsid w:val="006021A7"/>
    <w:rsid w:val="00606A4D"/>
    <w:rsid w:val="00607A87"/>
    <w:rsid w:val="00607FED"/>
    <w:rsid w:val="00625C42"/>
    <w:rsid w:val="00626390"/>
    <w:rsid w:val="006271CD"/>
    <w:rsid w:val="006344AB"/>
    <w:rsid w:val="0063563B"/>
    <w:rsid w:val="0064240D"/>
    <w:rsid w:val="00650046"/>
    <w:rsid w:val="00652A33"/>
    <w:rsid w:val="00653441"/>
    <w:rsid w:val="0065429F"/>
    <w:rsid w:val="00654CA6"/>
    <w:rsid w:val="006558A4"/>
    <w:rsid w:val="006559A8"/>
    <w:rsid w:val="00661195"/>
    <w:rsid w:val="006762C4"/>
    <w:rsid w:val="006762DF"/>
    <w:rsid w:val="006766D2"/>
    <w:rsid w:val="006C20E8"/>
    <w:rsid w:val="006C6E36"/>
    <w:rsid w:val="006D2B39"/>
    <w:rsid w:val="006E061C"/>
    <w:rsid w:val="006F032D"/>
    <w:rsid w:val="006F0370"/>
    <w:rsid w:val="006F6119"/>
    <w:rsid w:val="00704402"/>
    <w:rsid w:val="00704B56"/>
    <w:rsid w:val="00713690"/>
    <w:rsid w:val="00713CA8"/>
    <w:rsid w:val="007171E9"/>
    <w:rsid w:val="007176C7"/>
    <w:rsid w:val="0072246D"/>
    <w:rsid w:val="007236C4"/>
    <w:rsid w:val="0072570F"/>
    <w:rsid w:val="007320D7"/>
    <w:rsid w:val="007408BE"/>
    <w:rsid w:val="00746A1D"/>
    <w:rsid w:val="00750440"/>
    <w:rsid w:val="007510E3"/>
    <w:rsid w:val="00751813"/>
    <w:rsid w:val="00756B33"/>
    <w:rsid w:val="007571F7"/>
    <w:rsid w:val="00771871"/>
    <w:rsid w:val="00775EEB"/>
    <w:rsid w:val="00776D72"/>
    <w:rsid w:val="00784DE1"/>
    <w:rsid w:val="00785E66"/>
    <w:rsid w:val="00792432"/>
    <w:rsid w:val="00794CAA"/>
    <w:rsid w:val="007961C0"/>
    <w:rsid w:val="007A679C"/>
    <w:rsid w:val="007B04FE"/>
    <w:rsid w:val="007B1942"/>
    <w:rsid w:val="007B5BB8"/>
    <w:rsid w:val="007C0F09"/>
    <w:rsid w:val="007C683B"/>
    <w:rsid w:val="007D2B16"/>
    <w:rsid w:val="007D4787"/>
    <w:rsid w:val="007E166D"/>
    <w:rsid w:val="007F261A"/>
    <w:rsid w:val="007F2CED"/>
    <w:rsid w:val="00802FE7"/>
    <w:rsid w:val="0081001E"/>
    <w:rsid w:val="00810FF6"/>
    <w:rsid w:val="00812572"/>
    <w:rsid w:val="0081358A"/>
    <w:rsid w:val="00814EB9"/>
    <w:rsid w:val="008152FC"/>
    <w:rsid w:val="008233CC"/>
    <w:rsid w:val="00825200"/>
    <w:rsid w:val="0082636A"/>
    <w:rsid w:val="0083165D"/>
    <w:rsid w:val="00846DB7"/>
    <w:rsid w:val="00850413"/>
    <w:rsid w:val="00861C76"/>
    <w:rsid w:val="00863B4A"/>
    <w:rsid w:val="008656E5"/>
    <w:rsid w:val="00876E76"/>
    <w:rsid w:val="00880824"/>
    <w:rsid w:val="00883304"/>
    <w:rsid w:val="008930B8"/>
    <w:rsid w:val="0089344D"/>
    <w:rsid w:val="008A128A"/>
    <w:rsid w:val="008A64B7"/>
    <w:rsid w:val="008B74E0"/>
    <w:rsid w:val="008B7985"/>
    <w:rsid w:val="008C0BA0"/>
    <w:rsid w:val="008C649C"/>
    <w:rsid w:val="008D20AC"/>
    <w:rsid w:val="008D52C0"/>
    <w:rsid w:val="008E4AB4"/>
    <w:rsid w:val="008E74C9"/>
    <w:rsid w:val="008F0B60"/>
    <w:rsid w:val="00901042"/>
    <w:rsid w:val="00904BBE"/>
    <w:rsid w:val="00905A29"/>
    <w:rsid w:val="00907166"/>
    <w:rsid w:val="00912116"/>
    <w:rsid w:val="00914B70"/>
    <w:rsid w:val="00917F92"/>
    <w:rsid w:val="009263D8"/>
    <w:rsid w:val="0092749E"/>
    <w:rsid w:val="00931455"/>
    <w:rsid w:val="009314A6"/>
    <w:rsid w:val="0093736F"/>
    <w:rsid w:val="00940105"/>
    <w:rsid w:val="009623F8"/>
    <w:rsid w:val="00975599"/>
    <w:rsid w:val="0097715C"/>
    <w:rsid w:val="0099083A"/>
    <w:rsid w:val="009954FC"/>
    <w:rsid w:val="00997F64"/>
    <w:rsid w:val="009A4BFA"/>
    <w:rsid w:val="009B24BB"/>
    <w:rsid w:val="009B654B"/>
    <w:rsid w:val="009C0031"/>
    <w:rsid w:val="009C2D2A"/>
    <w:rsid w:val="009D1142"/>
    <w:rsid w:val="009D55A0"/>
    <w:rsid w:val="009D6EB0"/>
    <w:rsid w:val="009E3107"/>
    <w:rsid w:val="009F1192"/>
    <w:rsid w:val="009F2AEF"/>
    <w:rsid w:val="009F49B2"/>
    <w:rsid w:val="00A111E8"/>
    <w:rsid w:val="00A125B4"/>
    <w:rsid w:val="00A13939"/>
    <w:rsid w:val="00A21A78"/>
    <w:rsid w:val="00A21D08"/>
    <w:rsid w:val="00A24B25"/>
    <w:rsid w:val="00A25A4F"/>
    <w:rsid w:val="00A264F0"/>
    <w:rsid w:val="00A26C57"/>
    <w:rsid w:val="00A306EB"/>
    <w:rsid w:val="00A30BF1"/>
    <w:rsid w:val="00A40EF9"/>
    <w:rsid w:val="00A45D14"/>
    <w:rsid w:val="00A50CC2"/>
    <w:rsid w:val="00A52992"/>
    <w:rsid w:val="00A52A56"/>
    <w:rsid w:val="00A61D1C"/>
    <w:rsid w:val="00A62CB7"/>
    <w:rsid w:val="00A7112A"/>
    <w:rsid w:val="00A76CFD"/>
    <w:rsid w:val="00A8000D"/>
    <w:rsid w:val="00A82CEC"/>
    <w:rsid w:val="00A84CFF"/>
    <w:rsid w:val="00A86F77"/>
    <w:rsid w:val="00A95D33"/>
    <w:rsid w:val="00AB21E6"/>
    <w:rsid w:val="00AB3302"/>
    <w:rsid w:val="00AB7A82"/>
    <w:rsid w:val="00AC0729"/>
    <w:rsid w:val="00AC137B"/>
    <w:rsid w:val="00AC1F28"/>
    <w:rsid w:val="00AD4849"/>
    <w:rsid w:val="00AE27C5"/>
    <w:rsid w:val="00AE55E0"/>
    <w:rsid w:val="00AF1760"/>
    <w:rsid w:val="00AF41F5"/>
    <w:rsid w:val="00B01476"/>
    <w:rsid w:val="00B03F21"/>
    <w:rsid w:val="00B04AEA"/>
    <w:rsid w:val="00B04F9B"/>
    <w:rsid w:val="00B0658E"/>
    <w:rsid w:val="00B06D95"/>
    <w:rsid w:val="00B07DED"/>
    <w:rsid w:val="00B130E4"/>
    <w:rsid w:val="00B132F8"/>
    <w:rsid w:val="00B20A56"/>
    <w:rsid w:val="00B223AC"/>
    <w:rsid w:val="00B244CA"/>
    <w:rsid w:val="00B26D4D"/>
    <w:rsid w:val="00B27A1F"/>
    <w:rsid w:val="00B33FE1"/>
    <w:rsid w:val="00B3495B"/>
    <w:rsid w:val="00B359D2"/>
    <w:rsid w:val="00B35B97"/>
    <w:rsid w:val="00B414D7"/>
    <w:rsid w:val="00B4575B"/>
    <w:rsid w:val="00B466D6"/>
    <w:rsid w:val="00B571F2"/>
    <w:rsid w:val="00B57A98"/>
    <w:rsid w:val="00B57B14"/>
    <w:rsid w:val="00B57C1E"/>
    <w:rsid w:val="00B837C3"/>
    <w:rsid w:val="00BA4565"/>
    <w:rsid w:val="00BB3BE2"/>
    <w:rsid w:val="00BC4B58"/>
    <w:rsid w:val="00BC51F3"/>
    <w:rsid w:val="00BC55AC"/>
    <w:rsid w:val="00BE186F"/>
    <w:rsid w:val="00BF128F"/>
    <w:rsid w:val="00C0079C"/>
    <w:rsid w:val="00C13961"/>
    <w:rsid w:val="00C17E7E"/>
    <w:rsid w:val="00C35A98"/>
    <w:rsid w:val="00C3722B"/>
    <w:rsid w:val="00C40A47"/>
    <w:rsid w:val="00C42674"/>
    <w:rsid w:val="00C470BE"/>
    <w:rsid w:val="00C47833"/>
    <w:rsid w:val="00C47B03"/>
    <w:rsid w:val="00C5416B"/>
    <w:rsid w:val="00C578D5"/>
    <w:rsid w:val="00C7444C"/>
    <w:rsid w:val="00C83EFE"/>
    <w:rsid w:val="00C855D6"/>
    <w:rsid w:val="00C86652"/>
    <w:rsid w:val="00C878D5"/>
    <w:rsid w:val="00C91481"/>
    <w:rsid w:val="00C96209"/>
    <w:rsid w:val="00CB4664"/>
    <w:rsid w:val="00CB73B6"/>
    <w:rsid w:val="00CC3CE3"/>
    <w:rsid w:val="00CC7499"/>
    <w:rsid w:val="00CD0F03"/>
    <w:rsid w:val="00CD6C8E"/>
    <w:rsid w:val="00CD70C1"/>
    <w:rsid w:val="00CE23FF"/>
    <w:rsid w:val="00CE2DDA"/>
    <w:rsid w:val="00CE5FFD"/>
    <w:rsid w:val="00CF0718"/>
    <w:rsid w:val="00CF2970"/>
    <w:rsid w:val="00CF3CFB"/>
    <w:rsid w:val="00CF6959"/>
    <w:rsid w:val="00D07DEC"/>
    <w:rsid w:val="00D1012F"/>
    <w:rsid w:val="00D1063D"/>
    <w:rsid w:val="00D13C18"/>
    <w:rsid w:val="00D13EEC"/>
    <w:rsid w:val="00D2381A"/>
    <w:rsid w:val="00D25D6A"/>
    <w:rsid w:val="00D335F2"/>
    <w:rsid w:val="00D4539F"/>
    <w:rsid w:val="00D47000"/>
    <w:rsid w:val="00D53508"/>
    <w:rsid w:val="00D545B2"/>
    <w:rsid w:val="00D61906"/>
    <w:rsid w:val="00D728D5"/>
    <w:rsid w:val="00D810E1"/>
    <w:rsid w:val="00D93B3D"/>
    <w:rsid w:val="00D9786E"/>
    <w:rsid w:val="00DA482B"/>
    <w:rsid w:val="00DB121B"/>
    <w:rsid w:val="00DB2E21"/>
    <w:rsid w:val="00DB7D22"/>
    <w:rsid w:val="00DB7D8B"/>
    <w:rsid w:val="00DD11BD"/>
    <w:rsid w:val="00DD3840"/>
    <w:rsid w:val="00DE0E23"/>
    <w:rsid w:val="00DE52FD"/>
    <w:rsid w:val="00DE67ED"/>
    <w:rsid w:val="00DF32D8"/>
    <w:rsid w:val="00DF38DA"/>
    <w:rsid w:val="00DF5A0E"/>
    <w:rsid w:val="00E00C2A"/>
    <w:rsid w:val="00E03751"/>
    <w:rsid w:val="00E206AF"/>
    <w:rsid w:val="00E3263C"/>
    <w:rsid w:val="00E410C2"/>
    <w:rsid w:val="00E43FDF"/>
    <w:rsid w:val="00E44519"/>
    <w:rsid w:val="00E61395"/>
    <w:rsid w:val="00E62F3A"/>
    <w:rsid w:val="00E66743"/>
    <w:rsid w:val="00E712D2"/>
    <w:rsid w:val="00E81F2C"/>
    <w:rsid w:val="00E83144"/>
    <w:rsid w:val="00E84B4A"/>
    <w:rsid w:val="00E86B6F"/>
    <w:rsid w:val="00E90B62"/>
    <w:rsid w:val="00E97D22"/>
    <w:rsid w:val="00EA58DC"/>
    <w:rsid w:val="00EA6D74"/>
    <w:rsid w:val="00EA7AE0"/>
    <w:rsid w:val="00EB2F6E"/>
    <w:rsid w:val="00EB4AED"/>
    <w:rsid w:val="00EC30C4"/>
    <w:rsid w:val="00ED4CBF"/>
    <w:rsid w:val="00EE60A4"/>
    <w:rsid w:val="00EE7442"/>
    <w:rsid w:val="00EE7542"/>
    <w:rsid w:val="00EF171D"/>
    <w:rsid w:val="00EF46AB"/>
    <w:rsid w:val="00F02973"/>
    <w:rsid w:val="00F131F3"/>
    <w:rsid w:val="00F215A6"/>
    <w:rsid w:val="00F224F8"/>
    <w:rsid w:val="00F311D0"/>
    <w:rsid w:val="00F319FB"/>
    <w:rsid w:val="00F4087D"/>
    <w:rsid w:val="00F41636"/>
    <w:rsid w:val="00F518E1"/>
    <w:rsid w:val="00F558FB"/>
    <w:rsid w:val="00F644F2"/>
    <w:rsid w:val="00F81244"/>
    <w:rsid w:val="00F81BAF"/>
    <w:rsid w:val="00F82218"/>
    <w:rsid w:val="00F83D8B"/>
    <w:rsid w:val="00F903F8"/>
    <w:rsid w:val="00F968BF"/>
    <w:rsid w:val="00F97762"/>
    <w:rsid w:val="00FA32D4"/>
    <w:rsid w:val="00FC01DF"/>
    <w:rsid w:val="00FC1231"/>
    <w:rsid w:val="00FC1C36"/>
    <w:rsid w:val="00FC4671"/>
    <w:rsid w:val="00FE1F80"/>
    <w:rsid w:val="00FE287C"/>
    <w:rsid w:val="00FE41C2"/>
    <w:rsid w:val="00FE7CBD"/>
    <w:rsid w:val="00FF10F5"/>
    <w:rsid w:val="00FF2899"/>
    <w:rsid w:val="1595116C"/>
    <w:rsid w:val="1A806954"/>
    <w:rsid w:val="20C717C7"/>
    <w:rsid w:val="2DA06710"/>
    <w:rsid w:val="35DB4C56"/>
    <w:rsid w:val="3FD53934"/>
    <w:rsid w:val="5ECEEE04"/>
    <w:rsid w:val="6853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4CE0"/>
  <w15:chartTrackingRefBased/>
  <w15:docId w15:val="{E07D2B0D-BF83-4485-9746-6737938B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E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EE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EE5"/>
    <w:pPr>
      <w:ind w:left="720"/>
      <w:contextualSpacing/>
    </w:pPr>
  </w:style>
  <w:style w:type="paragraph" w:customStyle="1" w:styleId="Default">
    <w:name w:val="Default"/>
    <w:rsid w:val="00157EE5"/>
    <w:pPr>
      <w:autoSpaceDE w:val="0"/>
      <w:autoSpaceDN w:val="0"/>
      <w:adjustRightInd w:val="0"/>
      <w:spacing w:after="0" w:line="240" w:lineRule="auto"/>
    </w:pPr>
    <w:rPr>
      <w:rFonts w:ascii="Univers LT Std 45 Light" w:eastAsia="Times New Roman" w:hAnsi="Univers LT Std 45 Light" w:cs="Univers LT Std 45 Light"/>
      <w:color w:val="000000"/>
      <w:sz w:val="24"/>
      <w:szCs w:val="24"/>
      <w:lang w:val="en-AU" w:eastAsia="en-AU"/>
    </w:rPr>
  </w:style>
  <w:style w:type="character" w:styleId="CommentReference">
    <w:name w:val="annotation reference"/>
    <w:basedOn w:val="DefaultParagraphFont"/>
    <w:uiPriority w:val="99"/>
    <w:semiHidden/>
    <w:unhideWhenUsed/>
    <w:rsid w:val="00157EE5"/>
    <w:rPr>
      <w:sz w:val="16"/>
      <w:szCs w:val="16"/>
    </w:rPr>
  </w:style>
  <w:style w:type="paragraph" w:styleId="CommentText">
    <w:name w:val="annotation text"/>
    <w:basedOn w:val="Normal"/>
    <w:link w:val="CommentTextChar"/>
    <w:uiPriority w:val="99"/>
    <w:unhideWhenUsed/>
    <w:rsid w:val="00157EE5"/>
    <w:pPr>
      <w:spacing w:line="240" w:lineRule="auto"/>
    </w:pPr>
    <w:rPr>
      <w:sz w:val="20"/>
      <w:szCs w:val="20"/>
    </w:rPr>
  </w:style>
  <w:style w:type="character" w:customStyle="1" w:styleId="CommentTextChar">
    <w:name w:val="Comment Text Char"/>
    <w:basedOn w:val="DefaultParagraphFont"/>
    <w:link w:val="CommentText"/>
    <w:uiPriority w:val="99"/>
    <w:rsid w:val="00157EE5"/>
    <w:rPr>
      <w:sz w:val="20"/>
      <w:szCs w:val="20"/>
      <w:lang w:val="en-AU"/>
    </w:rPr>
  </w:style>
  <w:style w:type="paragraph" w:styleId="CommentSubject">
    <w:name w:val="annotation subject"/>
    <w:basedOn w:val="CommentText"/>
    <w:next w:val="CommentText"/>
    <w:link w:val="CommentSubjectChar"/>
    <w:uiPriority w:val="99"/>
    <w:semiHidden/>
    <w:unhideWhenUsed/>
    <w:rsid w:val="00157EE5"/>
    <w:rPr>
      <w:b/>
      <w:bCs/>
    </w:rPr>
  </w:style>
  <w:style w:type="character" w:customStyle="1" w:styleId="CommentSubjectChar">
    <w:name w:val="Comment Subject Char"/>
    <w:basedOn w:val="CommentTextChar"/>
    <w:link w:val="CommentSubject"/>
    <w:uiPriority w:val="99"/>
    <w:semiHidden/>
    <w:rsid w:val="00157EE5"/>
    <w:rPr>
      <w:b/>
      <w:bCs/>
      <w:sz w:val="20"/>
      <w:szCs w:val="20"/>
      <w:lang w:val="en-AU"/>
    </w:rPr>
  </w:style>
  <w:style w:type="paragraph" w:styleId="BalloonText">
    <w:name w:val="Balloon Text"/>
    <w:basedOn w:val="Normal"/>
    <w:link w:val="BalloonTextChar"/>
    <w:uiPriority w:val="99"/>
    <w:semiHidden/>
    <w:unhideWhenUsed/>
    <w:rsid w:val="00157E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7EE5"/>
    <w:rPr>
      <w:rFonts w:ascii="Times New Roman" w:hAnsi="Times New Roman" w:cs="Times New Roman"/>
      <w:sz w:val="18"/>
      <w:szCs w:val="18"/>
      <w:lang w:val="en-AU"/>
    </w:rPr>
  </w:style>
  <w:style w:type="character" w:styleId="Hyperlink">
    <w:name w:val="Hyperlink"/>
    <w:basedOn w:val="DefaultParagraphFont"/>
    <w:uiPriority w:val="99"/>
    <w:unhideWhenUsed/>
    <w:rsid w:val="00157EE5"/>
    <w:rPr>
      <w:color w:val="0000FF"/>
      <w:u w:val="single"/>
    </w:rPr>
  </w:style>
  <w:style w:type="character" w:styleId="UnresolvedMention">
    <w:name w:val="Unresolved Mention"/>
    <w:basedOn w:val="DefaultParagraphFont"/>
    <w:uiPriority w:val="99"/>
    <w:semiHidden/>
    <w:unhideWhenUsed/>
    <w:rsid w:val="00157EE5"/>
    <w:rPr>
      <w:color w:val="605E5C"/>
      <w:shd w:val="clear" w:color="auto" w:fill="E1DFDD"/>
    </w:rPr>
  </w:style>
  <w:style w:type="character" w:styleId="Emphasis">
    <w:name w:val="Emphasis"/>
    <w:basedOn w:val="DefaultParagraphFont"/>
    <w:uiPriority w:val="20"/>
    <w:qFormat/>
    <w:rsid w:val="00C878D5"/>
    <w:rPr>
      <w:i/>
      <w:iCs/>
    </w:rPr>
  </w:style>
  <w:style w:type="paragraph" w:styleId="Header">
    <w:name w:val="header"/>
    <w:basedOn w:val="Normal"/>
    <w:link w:val="HeaderChar"/>
    <w:uiPriority w:val="99"/>
    <w:unhideWhenUsed/>
    <w:rsid w:val="00001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CD2"/>
    <w:rPr>
      <w:lang w:val="en-AU"/>
    </w:rPr>
  </w:style>
  <w:style w:type="paragraph" w:styleId="Footer">
    <w:name w:val="footer"/>
    <w:basedOn w:val="Normal"/>
    <w:link w:val="FooterChar"/>
    <w:uiPriority w:val="99"/>
    <w:unhideWhenUsed/>
    <w:rsid w:val="00001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CD2"/>
    <w:rPr>
      <w:lang w:val="en-AU"/>
    </w:rPr>
  </w:style>
  <w:style w:type="paragraph" w:styleId="FootnoteText">
    <w:name w:val="footnote text"/>
    <w:basedOn w:val="Normal"/>
    <w:link w:val="FootnoteTextChar"/>
    <w:uiPriority w:val="99"/>
    <w:semiHidden/>
    <w:unhideWhenUsed/>
    <w:rsid w:val="00001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CD2"/>
    <w:rPr>
      <w:sz w:val="20"/>
      <w:szCs w:val="20"/>
      <w:lang w:val="en-AU"/>
    </w:rPr>
  </w:style>
  <w:style w:type="character" w:styleId="FootnoteReference">
    <w:name w:val="footnote reference"/>
    <w:basedOn w:val="DefaultParagraphFont"/>
    <w:uiPriority w:val="99"/>
    <w:semiHidden/>
    <w:unhideWhenUsed/>
    <w:rsid w:val="00001CD2"/>
    <w:rPr>
      <w:vertAlign w:val="superscript"/>
    </w:rPr>
  </w:style>
  <w:style w:type="paragraph" w:customStyle="1" w:styleId="gmail-default">
    <w:name w:val="gmail-default"/>
    <w:basedOn w:val="Normal"/>
    <w:rsid w:val="003D7C0D"/>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2916-020-1497-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a3994a5-5608-40c3-95e4-a735fbd59589" xsi:nil="true"/>
    <lcf76f155ced4ddcb4097134ff3c332f xmlns="f62c9114-8302-4126-8ff4-a41e9b228b2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EB0EF826D2D44F802014F5E7B5E555" ma:contentTypeVersion="18" ma:contentTypeDescription="Create a new document." ma:contentTypeScope="" ma:versionID="95ac3b8d4d7eafe188cf369709de9b88">
  <xsd:schema xmlns:xsd="http://www.w3.org/2001/XMLSchema" xmlns:xs="http://www.w3.org/2001/XMLSchema" xmlns:p="http://schemas.microsoft.com/office/2006/metadata/properties" xmlns:ns2="f62c9114-8302-4126-8ff4-a41e9b228b22" xmlns:ns3="9370d0f9-8379-4769-8b09-69a589389ec9" xmlns:ns4="da3994a5-5608-40c3-95e4-a735fbd59589" targetNamespace="http://schemas.microsoft.com/office/2006/metadata/properties" ma:root="true" ma:fieldsID="520bb870a30df86725b45e26bec898fd" ns2:_="" ns3:_="" ns4:_="">
    <xsd:import namespace="f62c9114-8302-4126-8ff4-a41e9b228b22"/>
    <xsd:import namespace="9370d0f9-8379-4769-8b09-69a589389ec9"/>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9114-8302-4126-8ff4-a41e9b228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0d0f9-8379-4769-8b09-69a589389e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910d9e-21bb-4012-ab49-792f4310233f}" ma:internalName="TaxCatchAll" ma:showField="CatchAllData" ma:web="9370d0f9-8379-4769-8b09-69a589389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254DF-19B3-4A31-8973-C99467A2755A}">
  <ds:schemaRefs>
    <ds:schemaRef ds:uri="http://schemas.microsoft.com/sharepoint/v3/contenttype/forms"/>
  </ds:schemaRefs>
</ds:datastoreItem>
</file>

<file path=customXml/itemProps2.xml><?xml version="1.0" encoding="utf-8"?>
<ds:datastoreItem xmlns:ds="http://schemas.openxmlformats.org/officeDocument/2006/customXml" ds:itemID="{B963224B-CC5D-46BB-8C29-0BA213EA4EE2}">
  <ds:schemaRefs>
    <ds:schemaRef ds:uri="http://schemas.openxmlformats.org/officeDocument/2006/bibliography"/>
  </ds:schemaRefs>
</ds:datastoreItem>
</file>

<file path=customXml/itemProps3.xml><?xml version="1.0" encoding="utf-8"?>
<ds:datastoreItem xmlns:ds="http://schemas.openxmlformats.org/officeDocument/2006/customXml" ds:itemID="{69EE1B23-6119-40A5-AA65-4DF2FB5876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FB76C-6FAF-4C4F-B5C7-762B20C3C55C}"/>
</file>

<file path=docProps/app.xml><?xml version="1.0" encoding="utf-8"?>
<Properties xmlns="http://schemas.openxmlformats.org/officeDocument/2006/extended-properties" xmlns:vt="http://schemas.openxmlformats.org/officeDocument/2006/docPropsVTypes">
  <Template>Normal</Template>
  <TotalTime>30</TotalTime>
  <Pages>15</Pages>
  <Words>3988</Words>
  <Characters>22735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Emily Groves</cp:lastModifiedBy>
  <cp:revision>33</cp:revision>
  <dcterms:created xsi:type="dcterms:W3CDTF">2021-08-25T20:04:00Z</dcterms:created>
  <dcterms:modified xsi:type="dcterms:W3CDTF">2024-02-15T16:56:00Z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0x010100CDEB0EF826D2D44F802014F5E7B5E555</vt:lpwstr>
  </property>
</Properties>
</file>