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F41FF" w:rsidR="00457F3C" w:rsidP="4AF9E47B" w:rsidRDefault="00457F3C" w14:paraId="391D508E" w14:textId="77777777">
      <w:pPr>
        <w:rPr>
          <w:color w:val="0070C0"/>
          <w:sz w:val="21"/>
          <w:szCs w:val="21"/>
          <w:lang w:val="en-AU"/>
        </w:rPr>
      </w:pPr>
    </w:p>
    <w:p w:rsidRPr="003F41FF" w:rsidR="00457F3C" w:rsidP="00457F3C" w:rsidRDefault="00457F3C" w14:paraId="34A82570" w14:textId="77777777">
      <w:pPr>
        <w:pStyle w:val="Default"/>
        <w:rPr>
          <w:b/>
          <w:bCs/>
          <w:sz w:val="32"/>
          <w:szCs w:val="32"/>
          <w:lang w:val="en-AU"/>
        </w:rPr>
      </w:pPr>
    </w:p>
    <w:p w:rsidRPr="003F41FF" w:rsidR="00457F3C" w:rsidP="4AF9E47B" w:rsidRDefault="00457F3C" w14:paraId="31B108F6" w14:textId="77777777">
      <w:pPr>
        <w:pStyle w:val="Default"/>
        <w:rPr>
          <w:rFonts w:cstheme="minorBidi"/>
          <w:color w:val="auto"/>
          <w:lang w:val="en-AU"/>
        </w:rPr>
      </w:pPr>
    </w:p>
    <w:p w:rsidR="00457F3C" w:rsidP="00457F3C" w:rsidRDefault="00457F3C" w14:paraId="6FB1A5F2" w14:textId="77777777">
      <w:pPr>
        <w:rPr>
          <w:color w:val="000000" w:themeColor="text1"/>
          <w:lang w:val="en-AU"/>
        </w:rPr>
      </w:pPr>
    </w:p>
    <w:p w:rsidRPr="003F41FF" w:rsidR="00457F3C" w:rsidP="00457F3C" w:rsidRDefault="00457F3C" w14:paraId="0D383A4A" w14:textId="77777777">
      <w:pPr>
        <w:rPr>
          <w:color w:val="000000" w:themeColor="text1"/>
          <w:lang w:val="en-AU"/>
        </w:rPr>
      </w:pPr>
    </w:p>
    <w:p w:rsidRPr="003F41FF" w:rsidR="00457F3C" w:rsidP="00457F3C" w:rsidRDefault="00457F3C" w14:paraId="4120E8A6" w14:textId="77777777">
      <w:pPr>
        <w:rPr>
          <w:color w:val="000000" w:themeColor="text1"/>
          <w:lang w:val="en-AU"/>
        </w:rPr>
      </w:pPr>
    </w:p>
    <w:p w:rsidRPr="003F41FF" w:rsidR="00457F3C" w:rsidP="00457F3C" w:rsidRDefault="00457F3C" w14:paraId="2689F1E3" w14:textId="6560B160">
      <w:pPr>
        <w:rPr>
          <w:color w:val="000000" w:themeColor="text1"/>
          <w:lang w:val="en-AU"/>
        </w:rPr>
      </w:pPr>
    </w:p>
    <w:p w:rsidRPr="003F41FF" w:rsidR="00457F3C" w:rsidP="00457F3C" w:rsidRDefault="006C29A4" w14:paraId="1511532E" w14:textId="4981969A">
      <w:pPr>
        <w:rPr>
          <w:color w:val="000000" w:themeColor="text1"/>
          <w:lang w:val="en-AU"/>
        </w:rPr>
      </w:pPr>
      <w:r w:rsidRPr="003F41FF">
        <w:rPr>
          <w:noProof/>
          <w:color w:val="000000" w:themeColor="text1"/>
        </w:rPr>
        <mc:AlternateContent>
          <mc:Choice Requires="wps">
            <w:drawing>
              <wp:anchor distT="0" distB="0" distL="114300" distR="114300" simplePos="0" relativeHeight="251659264" behindDoc="1" locked="0" layoutInCell="1" allowOverlap="1" wp14:anchorId="435E9F36" wp14:editId="231EC555">
                <wp:simplePos x="0" y="0"/>
                <wp:positionH relativeFrom="page">
                  <wp:posOffset>-74428</wp:posOffset>
                </wp:positionH>
                <wp:positionV relativeFrom="paragraph">
                  <wp:posOffset>246291</wp:posOffset>
                </wp:positionV>
                <wp:extent cx="7644809" cy="1600200"/>
                <wp:effectExtent l="0" t="0" r="635"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4809" cy="1600200"/>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pic="http://schemas.openxmlformats.org/drawingml/2006/picture" xmlns:a14="http://schemas.microsoft.com/office/drawing/2010/main" xmlns:a="http://schemas.openxmlformats.org/drawingml/2006/main">
            <w:pict w14:anchorId="4DCD555A">
              <v:rect id="Rectangle 2" style="position:absolute;margin-left:-5.85pt;margin-top:19.4pt;width:601.9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519bd0" stroked="f" w14:anchorId="4A14D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">
                <w10:wrap anchorx="page"/>
              </v:rect>
            </w:pict>
          </mc:Fallback>
        </mc:AlternateContent>
      </w:r>
    </w:p>
    <w:p w:rsidRPr="003F41FF" w:rsidR="00457F3C" w:rsidP="39473842" w:rsidRDefault="00457F3C" w14:paraId="54B0CAA6" w14:textId="3A27FF11">
      <w:pPr>
        <w:pStyle w:val="CoverPageTitle"/>
        <w:rPr>
          <w:b w:val="0"/>
          <w:bCs w:val="0"/>
          <w:color w:val="000000" w:themeColor="text1"/>
          <w:sz w:val="28"/>
          <w:szCs w:val="28"/>
          <w:lang w:val="en-AU"/>
        </w:rPr>
      </w:pPr>
      <w:r w:rsidRPr="39473842">
        <w:rPr>
          <w:b w:val="0"/>
          <w:bCs w:val="0"/>
          <w:color w:val="000000" w:themeColor="text1"/>
          <w:sz w:val="28"/>
          <w:szCs w:val="28"/>
        </w:rPr>
        <w:t xml:space="preserve">Statistical Analysis Plan </w:t>
      </w:r>
    </w:p>
    <w:p w:rsidRPr="007E2D1C" w:rsidR="00457F3C" w:rsidP="39473842" w:rsidRDefault="00AF20AE" w14:paraId="11B1F73C" w14:textId="7EFA3073">
      <w:pPr>
        <w:pStyle w:val="CoverPageTitle"/>
        <w:rPr>
          <w:b w:val="0"/>
          <w:bCs w:val="0"/>
          <w:color w:val="000000" w:themeColor="text1"/>
          <w:sz w:val="28"/>
          <w:szCs w:val="28"/>
          <w:lang w:val="en-AU"/>
        </w:rPr>
      </w:pPr>
      <w:r w:rsidRPr="39473842">
        <w:rPr>
          <w:b w:val="0"/>
          <w:bCs w:val="0"/>
          <w:color w:val="000000" w:themeColor="text1"/>
          <w:sz w:val="28"/>
          <w:szCs w:val="28"/>
        </w:rPr>
        <w:t xml:space="preserve">WWARN Primaquine </w:t>
      </w:r>
      <w:r w:rsidRPr="39473842" w:rsidR="00B925A0">
        <w:rPr>
          <w:b w:val="0"/>
          <w:bCs w:val="0"/>
          <w:color w:val="000000" w:themeColor="text1"/>
          <w:sz w:val="28"/>
          <w:szCs w:val="28"/>
        </w:rPr>
        <w:t xml:space="preserve">Methaemoglobin </w:t>
      </w:r>
      <w:r w:rsidRPr="39473842" w:rsidR="00457F3C">
        <w:rPr>
          <w:b w:val="0"/>
          <w:bCs w:val="0"/>
          <w:color w:val="000000" w:themeColor="text1"/>
          <w:sz w:val="28"/>
          <w:szCs w:val="28"/>
        </w:rPr>
        <w:t>Study Group</w:t>
      </w:r>
      <w:r w:rsidRPr="39473842" w:rsidR="5A192BCD">
        <w:rPr>
          <w:b w:val="0"/>
          <w:bCs w:val="0"/>
          <w:color w:val="000000" w:themeColor="text1"/>
          <w:sz w:val="28"/>
          <w:szCs w:val="28"/>
        </w:rPr>
        <w:t>:</w:t>
      </w:r>
    </w:p>
    <w:p w:rsidRPr="007E2D1C" w:rsidR="00457F3C" w:rsidP="39473842" w:rsidRDefault="00457F3C" w14:paraId="01312CAA" w14:textId="73A7EB34">
      <w:pPr>
        <w:pStyle w:val="CoverPageTitle"/>
        <w:rPr>
          <w:color w:val="000000" w:themeColor="text1"/>
          <w:sz w:val="28"/>
          <w:szCs w:val="28"/>
          <w:lang w:val="en-AU"/>
        </w:rPr>
      </w:pPr>
    </w:p>
    <w:p w:rsidR="007E2D1C" w:rsidP="39473842" w:rsidRDefault="007E2D1C" w14:paraId="66D86C62" w14:textId="72AB1482">
      <w:pPr>
        <w:pStyle w:val="CoverPageTitle"/>
        <w:rPr>
          <w:b w:val="0"/>
          <w:bCs w:val="0"/>
          <w:color w:val="000000" w:themeColor="text1"/>
          <w:sz w:val="28"/>
          <w:szCs w:val="28"/>
        </w:rPr>
      </w:pPr>
      <w:r w:rsidRPr="39473842">
        <w:rPr>
          <w:color w:val="000000" w:themeColor="text1"/>
          <w:sz w:val="28"/>
          <w:szCs w:val="28"/>
        </w:rPr>
        <w:t>Methaemoglobin as a</w:t>
      </w:r>
      <w:r w:rsidR="00B9074A">
        <w:rPr>
          <w:color w:val="000000" w:themeColor="text1"/>
          <w:sz w:val="28"/>
          <w:szCs w:val="28"/>
        </w:rPr>
        <w:t xml:space="preserve"> surrogate</w:t>
      </w:r>
      <w:r w:rsidRPr="39473842">
        <w:rPr>
          <w:color w:val="000000" w:themeColor="text1"/>
          <w:sz w:val="28"/>
          <w:szCs w:val="28"/>
        </w:rPr>
        <w:t xml:space="preserve"> marker of primaquine </w:t>
      </w:r>
      <w:bookmarkStart w:name="_Int_GNAf0CTl" w:id="0"/>
      <w:r w:rsidRPr="39473842">
        <w:rPr>
          <w:color w:val="000000" w:themeColor="text1"/>
          <w:sz w:val="28"/>
          <w:szCs w:val="28"/>
        </w:rPr>
        <w:t>antihypnozoite</w:t>
      </w:r>
      <w:bookmarkEnd w:id="0"/>
      <w:r w:rsidRPr="39473842">
        <w:rPr>
          <w:color w:val="000000" w:themeColor="text1"/>
          <w:sz w:val="28"/>
          <w:szCs w:val="28"/>
        </w:rPr>
        <w:t xml:space="preserve"> activity in </w:t>
      </w:r>
      <w:r w:rsidRPr="39473842">
        <w:rPr>
          <w:i/>
          <w:iCs/>
          <w:color w:val="000000" w:themeColor="text1"/>
          <w:sz w:val="28"/>
          <w:szCs w:val="28"/>
        </w:rPr>
        <w:t>Plasmodium vivax</w:t>
      </w:r>
      <w:r w:rsidRPr="39473842">
        <w:rPr>
          <w:color w:val="000000" w:themeColor="text1"/>
          <w:sz w:val="28"/>
          <w:szCs w:val="28"/>
        </w:rPr>
        <w:t xml:space="preserve"> malaria</w:t>
      </w:r>
    </w:p>
    <w:p w:rsidR="1D7A5475" w:rsidP="39473842" w:rsidRDefault="1D7A5475" w14:paraId="7CF7C7D5" w14:textId="1BDB0E6D">
      <w:pPr>
        <w:pStyle w:val="CoverPageTitle"/>
        <w:rPr>
          <w:b w:val="0"/>
          <w:bCs w:val="0"/>
          <w:color w:val="000000" w:themeColor="text1"/>
          <w:sz w:val="28"/>
          <w:szCs w:val="28"/>
        </w:rPr>
      </w:pPr>
      <w:r w:rsidRPr="39473842">
        <w:rPr>
          <w:b w:val="0"/>
          <w:bCs w:val="0"/>
          <w:color w:val="000000" w:themeColor="text1"/>
          <w:sz w:val="28"/>
          <w:szCs w:val="28"/>
        </w:rPr>
        <w:t>A</w:t>
      </w:r>
      <w:r w:rsidRPr="39473842" w:rsidR="1FEC8730">
        <w:rPr>
          <w:b w:val="0"/>
          <w:bCs w:val="0"/>
          <w:color w:val="000000" w:themeColor="text1"/>
          <w:sz w:val="28"/>
          <w:szCs w:val="28"/>
        </w:rPr>
        <w:t xml:space="preserve"> systematic review and individual patient</w:t>
      </w:r>
      <w:r w:rsidRPr="39473842" w:rsidR="08665339">
        <w:rPr>
          <w:b w:val="0"/>
          <w:bCs w:val="0"/>
          <w:color w:val="000000" w:themeColor="text1"/>
          <w:sz w:val="28"/>
          <w:szCs w:val="28"/>
        </w:rPr>
        <w:t xml:space="preserve"> </w:t>
      </w:r>
      <w:r w:rsidRPr="39473842" w:rsidR="1FEC8730">
        <w:rPr>
          <w:b w:val="0"/>
          <w:bCs w:val="0"/>
          <w:color w:val="000000" w:themeColor="text1"/>
          <w:sz w:val="28"/>
          <w:szCs w:val="28"/>
        </w:rPr>
        <w:t>data meta-analysis</w:t>
      </w:r>
    </w:p>
    <w:p w:rsidR="4ABC243D" w:rsidP="39473842" w:rsidRDefault="4ABC243D" w14:paraId="1193D5CF" w14:textId="436F1655">
      <w:pPr>
        <w:pStyle w:val="CoverPageTitle"/>
        <w:rPr>
          <w:b w:val="0"/>
          <w:bCs w:val="0"/>
          <w:color w:val="000000" w:themeColor="text1"/>
          <w:sz w:val="28"/>
          <w:szCs w:val="28"/>
          <w:lang w:val="en-AU"/>
        </w:rPr>
      </w:pPr>
    </w:p>
    <w:p w:rsidRPr="003F41FF" w:rsidR="00457F3C" w:rsidP="39473842" w:rsidRDefault="001D51F9" w14:paraId="4EA662D5" w14:textId="2903CE5D">
      <w:pPr>
        <w:pStyle w:val="CoverPageTitle"/>
        <w:rPr>
          <w:b w:val="0"/>
          <w:bCs w:val="0"/>
          <w:color w:val="000000" w:themeColor="text1"/>
          <w:sz w:val="28"/>
          <w:szCs w:val="28"/>
          <w:lang w:val="en-AU"/>
        </w:rPr>
      </w:pPr>
      <w:r w:rsidRPr="39473842">
        <w:rPr>
          <w:b w:val="0"/>
          <w:bCs w:val="0"/>
          <w:color w:val="000000" w:themeColor="text1"/>
          <w:sz w:val="28"/>
          <w:szCs w:val="28"/>
        </w:rPr>
        <w:t xml:space="preserve">Version </w:t>
      </w:r>
      <w:r w:rsidR="00B9074A">
        <w:rPr>
          <w:b w:val="0"/>
          <w:bCs w:val="0"/>
          <w:color w:val="000000" w:themeColor="text1"/>
          <w:sz w:val="28"/>
          <w:szCs w:val="28"/>
        </w:rPr>
        <w:t>1</w:t>
      </w:r>
      <w:r w:rsidRPr="39473842">
        <w:rPr>
          <w:b w:val="0"/>
          <w:bCs w:val="0"/>
          <w:color w:val="000000" w:themeColor="text1"/>
          <w:sz w:val="28"/>
          <w:szCs w:val="28"/>
        </w:rPr>
        <w:t>.</w:t>
      </w:r>
      <w:r w:rsidR="00B9074A">
        <w:rPr>
          <w:b w:val="0"/>
          <w:bCs w:val="0"/>
          <w:color w:val="000000" w:themeColor="text1"/>
          <w:sz w:val="28"/>
          <w:szCs w:val="28"/>
        </w:rPr>
        <w:t>1</w:t>
      </w:r>
    </w:p>
    <w:p w:rsidRPr="003F41FF" w:rsidR="00457F3C" w:rsidP="4AF9E47B" w:rsidRDefault="00457F3C" w14:paraId="602A668F" w14:textId="77777777">
      <w:pPr>
        <w:pStyle w:val="CoverPageWhiteText"/>
        <w:rPr>
          <w:color w:val="000000" w:themeColor="text1"/>
          <w:lang w:val="en-AU"/>
        </w:rPr>
      </w:pPr>
    </w:p>
    <w:p w:rsidRPr="003F41FF" w:rsidR="00457F3C" w:rsidP="4AF9E47B" w:rsidRDefault="00457F3C" w14:paraId="55AD6C57" w14:textId="77777777">
      <w:pPr>
        <w:pStyle w:val="CoverPageWhiteText"/>
        <w:rPr>
          <w:color w:val="000000" w:themeColor="text1"/>
          <w:lang w:val="en-AU"/>
        </w:rPr>
      </w:pPr>
    </w:p>
    <w:p w:rsidRPr="003F41FF" w:rsidR="00457F3C" w:rsidP="4AF9E47B" w:rsidRDefault="00457F3C" w14:paraId="79223120" w14:textId="77777777">
      <w:pPr>
        <w:pStyle w:val="SectionSubtitle"/>
        <w:rPr>
          <w:color w:val="000000" w:themeColor="text1"/>
          <w:lang w:val="en-AU"/>
        </w:rPr>
      </w:pPr>
    </w:p>
    <w:p w:rsidRPr="003F41FF" w:rsidR="00457F3C" w:rsidP="00457F3C" w:rsidRDefault="00457F3C" w14:paraId="2FC38B91" w14:textId="77777777">
      <w:pPr>
        <w:pStyle w:val="Default"/>
        <w:rPr>
          <w:b/>
          <w:bCs/>
          <w:sz w:val="28"/>
          <w:szCs w:val="28"/>
          <w:lang w:val="en-AU"/>
        </w:rPr>
      </w:pPr>
    </w:p>
    <w:p w:rsidRPr="003F41FF" w:rsidR="00457F3C" w:rsidP="00457F3C" w:rsidRDefault="00457F3C" w14:paraId="7BCE05BA" w14:textId="77777777">
      <w:pPr>
        <w:pStyle w:val="Default"/>
        <w:rPr>
          <w:b/>
          <w:bCs/>
          <w:sz w:val="28"/>
          <w:szCs w:val="28"/>
          <w:lang w:val="en-AU"/>
        </w:rPr>
      </w:pPr>
    </w:p>
    <w:p w:rsidRPr="003F41FF" w:rsidR="00457F3C" w:rsidP="00457F3C" w:rsidRDefault="00457F3C" w14:paraId="29BE986C" w14:textId="77777777">
      <w:pPr>
        <w:pStyle w:val="Default"/>
        <w:rPr>
          <w:b/>
          <w:bCs/>
          <w:sz w:val="28"/>
          <w:szCs w:val="28"/>
          <w:lang w:val="en-AU"/>
        </w:rPr>
      </w:pPr>
    </w:p>
    <w:p w:rsidRPr="003F41FF" w:rsidR="00457F3C" w:rsidP="00457F3C" w:rsidRDefault="00457F3C" w14:paraId="276AD79D" w14:noSpellErr="1" w14:textId="2C3583BA">
      <w:pPr>
        <w:pStyle w:val="Default"/>
        <w:rPr>
          <w:b w:val="1"/>
          <w:bCs w:val="1"/>
          <w:sz w:val="28"/>
          <w:szCs w:val="28"/>
          <w:lang w:val="en-AU"/>
        </w:rPr>
      </w:pPr>
    </w:p>
    <w:p w:rsidRPr="003F41FF" w:rsidR="00457F3C" w:rsidP="00457F3C" w:rsidRDefault="00457F3C" w14:paraId="48DE6159" w14:textId="77777777">
      <w:pPr>
        <w:pStyle w:val="Default"/>
        <w:rPr>
          <w:b/>
          <w:bCs/>
          <w:sz w:val="28"/>
          <w:szCs w:val="28"/>
          <w:lang w:val="en-AU"/>
        </w:rPr>
      </w:pPr>
    </w:p>
    <w:p w:rsidRPr="003F41FF" w:rsidR="00457F3C" w:rsidP="00457F3C" w:rsidRDefault="00457F3C" w14:paraId="16497FD5" w14:textId="77777777">
      <w:pPr>
        <w:pStyle w:val="Default"/>
        <w:rPr>
          <w:b/>
          <w:bCs/>
          <w:sz w:val="28"/>
          <w:szCs w:val="28"/>
          <w:lang w:val="en-AU"/>
        </w:rPr>
      </w:pPr>
    </w:p>
    <w:p w:rsidRPr="003F41FF" w:rsidR="00457F3C" w:rsidP="00457F3C" w:rsidRDefault="00457F3C" w14:paraId="1CB9C275" w14:textId="77777777">
      <w:pPr>
        <w:pStyle w:val="Default"/>
        <w:rPr>
          <w:b/>
          <w:bCs/>
          <w:sz w:val="28"/>
          <w:szCs w:val="28"/>
          <w:lang w:val="en-AU"/>
        </w:rPr>
      </w:pPr>
    </w:p>
    <w:p w:rsidRPr="003F41FF" w:rsidR="00457F3C" w:rsidP="00457F3C" w:rsidRDefault="00457F3C" w14:paraId="1D65BF33" w14:textId="77777777">
      <w:pPr>
        <w:pStyle w:val="Default"/>
        <w:rPr>
          <w:b/>
          <w:bCs/>
          <w:sz w:val="28"/>
          <w:szCs w:val="28"/>
          <w:lang w:val="en-AU"/>
        </w:rPr>
      </w:pPr>
    </w:p>
    <w:p w:rsidRPr="003F41FF" w:rsidR="00457F3C" w:rsidP="00457F3C" w:rsidRDefault="00457F3C" w14:paraId="6364BFF2" w14:textId="77777777">
      <w:pPr>
        <w:pStyle w:val="Default"/>
        <w:rPr>
          <w:b/>
          <w:bCs/>
          <w:sz w:val="28"/>
          <w:szCs w:val="28"/>
          <w:lang w:val="en-AU"/>
        </w:rPr>
      </w:pPr>
    </w:p>
    <w:p w:rsidRPr="003F41FF" w:rsidR="00457F3C" w:rsidP="00457F3C" w:rsidRDefault="00457F3C" w14:paraId="2B249E80" w14:textId="77777777">
      <w:pPr>
        <w:pStyle w:val="Default"/>
        <w:rPr>
          <w:b/>
          <w:bCs/>
          <w:sz w:val="28"/>
          <w:szCs w:val="28"/>
          <w:lang w:val="en-AU"/>
        </w:rPr>
      </w:pPr>
    </w:p>
    <w:p w:rsidRPr="003F41FF" w:rsidR="00457F3C" w:rsidP="00457F3C" w:rsidRDefault="00457F3C" w14:paraId="36E16A72" w14:textId="77777777">
      <w:pPr>
        <w:pStyle w:val="Default"/>
        <w:rPr>
          <w:b/>
          <w:bCs/>
          <w:sz w:val="28"/>
          <w:szCs w:val="28"/>
          <w:lang w:val="en-AU"/>
        </w:rPr>
      </w:pPr>
    </w:p>
    <w:p w:rsidRPr="003F41FF" w:rsidR="00457F3C" w:rsidP="00457F3C" w:rsidRDefault="00457F3C" w14:paraId="00BD5802" w14:textId="77777777">
      <w:pPr>
        <w:pStyle w:val="Default"/>
        <w:rPr>
          <w:b/>
          <w:bCs/>
          <w:sz w:val="28"/>
          <w:szCs w:val="28"/>
          <w:lang w:val="en-AU"/>
        </w:rPr>
      </w:pPr>
    </w:p>
    <w:p w:rsidRPr="003F41FF" w:rsidR="00457F3C" w:rsidP="00457F3C" w:rsidRDefault="00457F3C" w14:paraId="7AE5E7DD" w14:textId="77777777">
      <w:pPr>
        <w:pStyle w:val="Default"/>
        <w:rPr>
          <w:b/>
          <w:bCs/>
          <w:sz w:val="28"/>
          <w:szCs w:val="28"/>
          <w:lang w:val="en-AU"/>
        </w:rPr>
      </w:pPr>
    </w:p>
    <w:p w:rsidRPr="003F41FF" w:rsidR="00457F3C" w:rsidP="00457F3C" w:rsidRDefault="00457F3C" w14:paraId="60FD10C1" w14:textId="77777777">
      <w:pPr>
        <w:pStyle w:val="Default"/>
        <w:rPr>
          <w:b/>
          <w:bCs/>
          <w:sz w:val="28"/>
          <w:szCs w:val="28"/>
          <w:lang w:val="en-AU"/>
        </w:rPr>
      </w:pPr>
    </w:p>
    <w:p w:rsidRPr="003F41FF" w:rsidR="00457F3C" w:rsidP="00457F3C" w:rsidRDefault="00457F3C" w14:paraId="6778B113" w14:textId="77777777">
      <w:pPr>
        <w:pStyle w:val="Default"/>
        <w:rPr>
          <w:b/>
          <w:bCs/>
          <w:sz w:val="28"/>
          <w:szCs w:val="28"/>
          <w:lang w:val="en-AU"/>
        </w:rPr>
      </w:pPr>
    </w:p>
    <w:p w:rsidRPr="003F41FF" w:rsidR="00457F3C" w:rsidP="00457F3C" w:rsidRDefault="00457F3C" w14:paraId="1C2E1480" w14:textId="77777777">
      <w:pPr>
        <w:pStyle w:val="Default"/>
        <w:rPr>
          <w:b/>
          <w:bCs/>
          <w:sz w:val="28"/>
          <w:szCs w:val="28"/>
          <w:lang w:val="en-AU"/>
        </w:rPr>
      </w:pPr>
    </w:p>
    <w:p w:rsidRPr="003F41FF" w:rsidR="00457F3C" w:rsidP="00457F3C" w:rsidRDefault="00457F3C" w14:paraId="2ED529E0" w14:textId="77777777">
      <w:pPr>
        <w:pStyle w:val="Default"/>
        <w:rPr>
          <w:b/>
          <w:bCs/>
          <w:sz w:val="28"/>
          <w:szCs w:val="28"/>
          <w:lang w:val="en-AU"/>
        </w:rPr>
      </w:pPr>
    </w:p>
    <w:p w:rsidRPr="003F41FF" w:rsidR="00457F3C" w:rsidP="00457F3C" w:rsidRDefault="00457F3C" w14:paraId="42B432C4" w14:textId="77777777">
      <w:pPr>
        <w:pStyle w:val="Default"/>
        <w:rPr>
          <w:b/>
          <w:bCs/>
          <w:sz w:val="28"/>
          <w:szCs w:val="28"/>
          <w:lang w:val="en-AU"/>
        </w:rPr>
      </w:pPr>
    </w:p>
    <w:p w:rsidRPr="003F41FF" w:rsidR="00457F3C" w:rsidP="4AF9E47B" w:rsidRDefault="00457F3C" w14:paraId="160C727B" w14:textId="77777777">
      <w:pPr>
        <w:pStyle w:val="Default"/>
        <w:rPr>
          <w:rFonts w:cstheme="minorBidi"/>
          <w:color w:val="auto"/>
          <w:lang w:val="en-AU"/>
        </w:rPr>
      </w:pPr>
      <w:r w:rsidRPr="4AF9E47B">
        <w:rPr>
          <w:b/>
          <w:bCs/>
          <w:sz w:val="28"/>
          <w:szCs w:val="28"/>
        </w:rPr>
        <w:t>WorldWide Antimalarial Resistance Network (WWARN)</w:t>
      </w:r>
    </w:p>
    <w:p w:rsidRPr="003F41FF" w:rsidR="00457F3C" w:rsidP="4AF9E47B" w:rsidRDefault="00457F3C" w14:paraId="76909406" w14:textId="77777777">
      <w:pPr>
        <w:pStyle w:val="Default"/>
        <w:rPr>
          <w:rFonts w:cstheme="minorBidi"/>
          <w:color w:val="auto"/>
          <w:lang w:val="en-AU"/>
        </w:rPr>
      </w:pPr>
    </w:p>
    <w:p w:rsidRPr="009A25AA" w:rsidR="00457F3C" w:rsidP="1674DEA4" w:rsidRDefault="00457F3C" w14:paraId="10771FEE" w14:textId="44A5258C">
      <w:pPr>
        <w:rPr>
          <w:color w:val="000000" w:themeColor="text1"/>
          <w:sz w:val="23"/>
          <w:szCs w:val="23"/>
          <w:lang w:val="en-AU"/>
        </w:rPr>
      </w:pPr>
      <w:r w:rsidRPr="05943531" w:rsidR="00457F3C">
        <w:rPr>
          <w:b w:val="1"/>
          <w:bCs w:val="1"/>
          <w:sz w:val="23"/>
          <w:szCs w:val="23"/>
        </w:rPr>
        <w:t xml:space="preserve">Suggested citation: </w:t>
      </w:r>
      <w:r w:rsidRPr="05943531" w:rsidR="00457F3C">
        <w:rPr>
          <w:sz w:val="23"/>
          <w:szCs w:val="23"/>
        </w:rPr>
        <w:t xml:space="preserve">Statistical Analysis Plan, </w:t>
      </w:r>
      <w:r w:rsidRPr="05943531" w:rsidR="00C80AB8">
        <w:rPr>
          <w:color w:val="000000" w:themeColor="text1" w:themeTint="FF" w:themeShade="FF"/>
          <w:sz w:val="23"/>
          <w:szCs w:val="23"/>
        </w:rPr>
        <w:t xml:space="preserve">Primaquine </w:t>
      </w:r>
      <w:r w:rsidRPr="05943531" w:rsidR="00B925A0">
        <w:rPr>
          <w:color w:val="000000" w:themeColor="text1" w:themeTint="FF" w:themeShade="FF"/>
          <w:sz w:val="23"/>
          <w:szCs w:val="23"/>
        </w:rPr>
        <w:t xml:space="preserve">Methaemoglobin </w:t>
      </w:r>
      <w:r w:rsidRPr="05943531" w:rsidR="00891178">
        <w:rPr>
          <w:color w:val="000000" w:themeColor="text1" w:themeTint="FF" w:themeShade="FF"/>
          <w:sz w:val="23"/>
          <w:szCs w:val="23"/>
        </w:rPr>
        <w:t xml:space="preserve">Study Group: </w:t>
      </w:r>
      <w:r w:rsidRPr="05943531" w:rsidR="00C80AB8">
        <w:rPr>
          <w:color w:val="000000" w:themeColor="text1" w:themeTint="FF" w:themeShade="FF"/>
          <w:sz w:val="23"/>
          <w:szCs w:val="23"/>
        </w:rPr>
        <w:t xml:space="preserve">Methaemoglobin as a </w:t>
      </w:r>
      <w:r w:rsidRPr="05943531" w:rsidR="00FF137C">
        <w:rPr>
          <w:color w:val="000000" w:themeColor="text1" w:themeTint="FF" w:themeShade="FF"/>
          <w:sz w:val="23"/>
          <w:szCs w:val="23"/>
        </w:rPr>
        <w:t xml:space="preserve">surrogate </w:t>
      </w:r>
      <w:r w:rsidRPr="05943531" w:rsidR="00C80AB8">
        <w:rPr>
          <w:color w:val="000000" w:themeColor="text1" w:themeTint="FF" w:themeShade="FF"/>
          <w:sz w:val="23"/>
          <w:szCs w:val="23"/>
        </w:rPr>
        <w:t xml:space="preserve">marker of primaquine antihypnozoite activity in </w:t>
      </w:r>
      <w:r w:rsidRPr="05943531" w:rsidR="00C80AB8">
        <w:rPr>
          <w:i w:val="1"/>
          <w:iCs w:val="1"/>
          <w:color w:val="000000" w:themeColor="text1" w:themeTint="FF" w:themeShade="FF"/>
          <w:sz w:val="23"/>
          <w:szCs w:val="23"/>
        </w:rPr>
        <w:t>Plasmodium vivax</w:t>
      </w:r>
      <w:r w:rsidRPr="05943531" w:rsidR="00C80AB8">
        <w:rPr>
          <w:color w:val="000000" w:themeColor="text1" w:themeTint="FF" w:themeShade="FF"/>
          <w:sz w:val="23"/>
          <w:szCs w:val="23"/>
        </w:rPr>
        <w:t xml:space="preserve"> </w:t>
      </w:r>
      <w:r w:rsidRPr="05943531" w:rsidR="003E4D2D">
        <w:rPr>
          <w:color w:val="000000" w:themeColor="text1" w:themeTint="FF" w:themeShade="FF"/>
          <w:sz w:val="23"/>
          <w:szCs w:val="23"/>
        </w:rPr>
        <w:t>malaria</w:t>
      </w:r>
      <w:r w:rsidRPr="05943531" w:rsidR="049248B8">
        <w:rPr>
          <w:color w:val="000000" w:themeColor="text1" w:themeTint="FF" w:themeShade="FF"/>
          <w:sz w:val="23"/>
          <w:szCs w:val="23"/>
        </w:rPr>
        <w:t>: a systematic review and individual patient data meta-analysis</w:t>
      </w:r>
    </w:p>
    <w:p w:rsidRPr="003F41FF" w:rsidR="00457F3C" w:rsidP="00457F3C" w:rsidRDefault="00457F3C" w14:paraId="4510A715" w14:textId="77777777">
      <w:pPr>
        <w:pStyle w:val="Default"/>
        <w:rPr>
          <w:color w:val="auto"/>
          <w:sz w:val="23"/>
          <w:szCs w:val="23"/>
          <w:lang w:val="en-AU"/>
        </w:rPr>
      </w:pPr>
    </w:p>
    <w:p w:rsidRPr="003F41FF" w:rsidR="00457F3C" w:rsidP="00457F3C" w:rsidRDefault="00457F3C" w14:paraId="2AE69E42" w14:textId="77777777">
      <w:pPr>
        <w:pStyle w:val="Default"/>
        <w:rPr>
          <w:color w:val="auto"/>
          <w:sz w:val="23"/>
          <w:szCs w:val="23"/>
          <w:lang w:val="en-AU"/>
        </w:rPr>
      </w:pPr>
    </w:p>
    <w:tbl>
      <w:tblPr>
        <w:tblW w:w="8888"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1941"/>
        <w:gridCol w:w="4820"/>
        <w:gridCol w:w="2127"/>
      </w:tblGrid>
      <w:tr w:rsidRPr="003F41FF" w:rsidR="004D221E" w:rsidTr="05943531" w14:paraId="07D86144" w14:textId="77777777">
        <w:trPr>
          <w:trHeight w:val="110"/>
        </w:trPr>
        <w:tc>
          <w:tcPr>
            <w:tcW w:w="1941" w:type="dxa"/>
            <w:tcMar/>
          </w:tcPr>
          <w:p w:rsidRPr="003F41FF" w:rsidR="00457F3C" w:rsidP="00C91285" w:rsidRDefault="00457F3C" w14:paraId="6C520458" w14:textId="77777777">
            <w:pPr>
              <w:pStyle w:val="Default"/>
              <w:rPr>
                <w:sz w:val="22"/>
                <w:szCs w:val="22"/>
                <w:lang w:val="en-AU"/>
              </w:rPr>
            </w:pPr>
            <w:r w:rsidRPr="4AF9E47B">
              <w:rPr>
                <w:b/>
                <w:bCs/>
                <w:color w:val="auto"/>
                <w:sz w:val="23"/>
                <w:szCs w:val="23"/>
              </w:rPr>
              <w:t xml:space="preserve">Version History </w:t>
            </w:r>
            <w:r w:rsidRPr="4AF9E47B">
              <w:rPr>
                <w:b/>
                <w:bCs/>
                <w:sz w:val="22"/>
                <w:szCs w:val="22"/>
              </w:rPr>
              <w:t xml:space="preserve">Version number </w:t>
            </w:r>
          </w:p>
        </w:tc>
        <w:tc>
          <w:tcPr>
            <w:tcW w:w="4820" w:type="dxa"/>
            <w:tcMar/>
          </w:tcPr>
          <w:p w:rsidRPr="003F41FF" w:rsidR="00457F3C" w:rsidP="00C91285" w:rsidRDefault="00457F3C" w14:paraId="217D90EB" w14:textId="77777777">
            <w:pPr>
              <w:pStyle w:val="Default"/>
              <w:rPr>
                <w:sz w:val="22"/>
                <w:szCs w:val="22"/>
                <w:lang w:val="en-AU"/>
              </w:rPr>
            </w:pPr>
            <w:r w:rsidRPr="4AF9E47B">
              <w:rPr>
                <w:b/>
                <w:bCs/>
                <w:sz w:val="22"/>
                <w:szCs w:val="22"/>
              </w:rPr>
              <w:t xml:space="preserve">Revision(s) &amp; reason for amendment </w:t>
            </w:r>
          </w:p>
        </w:tc>
        <w:tc>
          <w:tcPr>
            <w:tcW w:w="2127" w:type="dxa"/>
            <w:tcMar/>
          </w:tcPr>
          <w:p w:rsidRPr="003F41FF" w:rsidR="00457F3C" w:rsidP="00C91285" w:rsidRDefault="00457F3C" w14:paraId="692D3F0A" w14:textId="77777777">
            <w:pPr>
              <w:pStyle w:val="Default"/>
              <w:rPr>
                <w:sz w:val="22"/>
                <w:szCs w:val="22"/>
                <w:lang w:val="en-AU"/>
              </w:rPr>
            </w:pPr>
            <w:r w:rsidRPr="4AF9E47B">
              <w:rPr>
                <w:b/>
                <w:bCs/>
                <w:sz w:val="22"/>
                <w:szCs w:val="22"/>
              </w:rPr>
              <w:t xml:space="preserve">Release date </w:t>
            </w:r>
          </w:p>
        </w:tc>
      </w:tr>
      <w:tr w:rsidRPr="007F0EB5" w:rsidR="004D221E" w:rsidTr="05943531" w14:paraId="193F836F" w14:textId="77777777">
        <w:trPr>
          <w:trHeight w:val="211"/>
        </w:trPr>
        <w:tc>
          <w:tcPr>
            <w:tcW w:w="1941" w:type="dxa"/>
            <w:tcMar/>
          </w:tcPr>
          <w:p w:rsidRPr="007F0EB5" w:rsidR="00BC6E4F" w:rsidP="00980890" w:rsidRDefault="00FF137C" w14:paraId="3E7364D5" w14:textId="34FEF293">
            <w:pPr>
              <w:pStyle w:val="Default"/>
              <w:rPr>
                <w:sz w:val="18"/>
                <w:szCs w:val="18"/>
                <w:lang w:val="en-AU"/>
              </w:rPr>
            </w:pPr>
            <w:r>
              <w:rPr>
                <w:sz w:val="18"/>
                <w:szCs w:val="18"/>
                <w:lang w:val="en-AU"/>
              </w:rPr>
              <w:t>Version 1.0</w:t>
            </w:r>
          </w:p>
        </w:tc>
        <w:tc>
          <w:tcPr>
            <w:tcW w:w="4820" w:type="dxa"/>
            <w:tcMar/>
          </w:tcPr>
          <w:p w:rsidRPr="007F0EB5" w:rsidR="00BC6E4F" w:rsidP="00980890" w:rsidRDefault="00BC6E4F" w14:paraId="6BF01DB6" w14:textId="0AC733C9">
            <w:pPr>
              <w:pStyle w:val="Default"/>
              <w:rPr>
                <w:sz w:val="18"/>
                <w:szCs w:val="18"/>
                <w:lang w:val="en-AU"/>
              </w:rPr>
            </w:pPr>
          </w:p>
        </w:tc>
        <w:tc>
          <w:tcPr>
            <w:tcW w:w="2127" w:type="dxa"/>
            <w:tcMar/>
          </w:tcPr>
          <w:p w:rsidRPr="007F0EB5" w:rsidR="00BC6E4F" w:rsidP="4AF9E47B" w:rsidRDefault="007468FD" w14:paraId="75B0C341" w14:textId="2F10D508">
            <w:pPr>
              <w:pStyle w:val="Default"/>
              <w:rPr>
                <w:sz w:val="18"/>
                <w:szCs w:val="18"/>
                <w:highlight w:val="yellow"/>
                <w:lang w:val="en-AU"/>
              </w:rPr>
            </w:pPr>
            <w:r w:rsidRPr="05943531" w:rsidR="008451D9">
              <w:rPr>
                <w:sz w:val="18"/>
                <w:szCs w:val="18"/>
                <w:lang w:val="en-AU"/>
              </w:rPr>
              <w:t>June 2023</w:t>
            </w:r>
          </w:p>
        </w:tc>
      </w:tr>
      <w:tr w:rsidRPr="007F0EB5" w:rsidR="00FF137C" w:rsidTr="05943531" w14:paraId="64A552CF" w14:textId="77777777">
        <w:trPr>
          <w:trHeight w:val="211"/>
        </w:trPr>
        <w:tc>
          <w:tcPr>
            <w:tcW w:w="1941" w:type="dxa"/>
            <w:tcMar/>
          </w:tcPr>
          <w:p w:rsidR="00FF137C" w:rsidP="00980890" w:rsidRDefault="00FF137C" w14:paraId="62B556C7" w14:textId="2A6A92C9">
            <w:pPr>
              <w:pStyle w:val="Default"/>
              <w:rPr>
                <w:sz w:val="18"/>
                <w:szCs w:val="18"/>
                <w:lang w:val="en-AU"/>
              </w:rPr>
            </w:pPr>
            <w:r>
              <w:rPr>
                <w:sz w:val="18"/>
                <w:szCs w:val="18"/>
                <w:lang w:val="en-AU"/>
              </w:rPr>
              <w:t>Version 1.1</w:t>
            </w:r>
          </w:p>
        </w:tc>
        <w:tc>
          <w:tcPr>
            <w:tcW w:w="4820" w:type="dxa"/>
            <w:tcMar/>
          </w:tcPr>
          <w:p w:rsidR="00FF137C" w:rsidP="00FF137C" w:rsidRDefault="00FF137C" w14:paraId="65EFB3EB" w14:textId="017106A2">
            <w:pPr>
              <w:pStyle w:val="Default"/>
              <w:numPr>
                <w:ilvl w:val="0"/>
                <w:numId w:val="16"/>
              </w:numPr>
              <w:ind w:left="180" w:hanging="180"/>
              <w:rPr>
                <w:sz w:val="18"/>
                <w:szCs w:val="18"/>
                <w:lang w:val="en-AU"/>
              </w:rPr>
            </w:pPr>
            <w:r>
              <w:rPr>
                <w:sz w:val="18"/>
                <w:szCs w:val="18"/>
                <w:lang w:val="en-AU"/>
              </w:rPr>
              <w:t>Added '</w:t>
            </w:r>
            <w:r w:rsidR="00092071">
              <w:rPr>
                <w:sz w:val="18"/>
                <w:szCs w:val="18"/>
                <w:lang w:val="en-AU"/>
              </w:rPr>
              <w:t xml:space="preserve">... </w:t>
            </w:r>
            <w:r>
              <w:rPr>
                <w:sz w:val="18"/>
                <w:szCs w:val="18"/>
                <w:lang w:val="en-AU"/>
              </w:rPr>
              <w:t>surrogate</w:t>
            </w:r>
            <w:r w:rsidR="00092071">
              <w:rPr>
                <w:sz w:val="18"/>
                <w:szCs w:val="18"/>
                <w:lang w:val="en-AU"/>
              </w:rPr>
              <w:t xml:space="preserve"> ...</w:t>
            </w:r>
            <w:r>
              <w:rPr>
                <w:sz w:val="18"/>
                <w:szCs w:val="18"/>
                <w:lang w:val="en-AU"/>
              </w:rPr>
              <w:t xml:space="preserve">' to the </w:t>
            </w:r>
            <w:r w:rsidR="00A23580">
              <w:rPr>
                <w:sz w:val="18"/>
                <w:szCs w:val="18"/>
                <w:lang w:val="en-AU"/>
              </w:rPr>
              <w:t xml:space="preserve">study </w:t>
            </w:r>
            <w:r>
              <w:rPr>
                <w:sz w:val="18"/>
                <w:szCs w:val="18"/>
                <w:lang w:val="en-AU"/>
              </w:rPr>
              <w:t xml:space="preserve">title </w:t>
            </w:r>
            <w:r w:rsidR="00A23580">
              <w:rPr>
                <w:sz w:val="18"/>
                <w:szCs w:val="18"/>
                <w:lang w:val="en-AU"/>
              </w:rPr>
              <w:t xml:space="preserve">for better description of </w:t>
            </w:r>
            <w:r>
              <w:rPr>
                <w:sz w:val="18"/>
                <w:szCs w:val="18"/>
                <w:lang w:val="en-AU"/>
              </w:rPr>
              <w:t xml:space="preserve">the </w:t>
            </w:r>
            <w:proofErr w:type="gramStart"/>
            <w:r w:rsidR="00A23580">
              <w:rPr>
                <w:sz w:val="18"/>
                <w:szCs w:val="18"/>
                <w:lang w:val="en-AU"/>
              </w:rPr>
              <w:t>analysis</w:t>
            </w:r>
            <w:proofErr w:type="gramEnd"/>
          </w:p>
          <w:p w:rsidR="00FF137C" w:rsidP="00FF137C" w:rsidRDefault="00092071" w14:paraId="41FCAADD" w14:textId="3FC49229">
            <w:pPr>
              <w:pStyle w:val="Default"/>
              <w:numPr>
                <w:ilvl w:val="0"/>
                <w:numId w:val="16"/>
              </w:numPr>
              <w:ind w:left="180" w:hanging="180"/>
              <w:rPr>
                <w:sz w:val="18"/>
                <w:szCs w:val="18"/>
                <w:lang w:val="en-AU"/>
              </w:rPr>
            </w:pPr>
            <w:r>
              <w:rPr>
                <w:sz w:val="18"/>
                <w:szCs w:val="18"/>
                <w:lang w:val="en-AU"/>
              </w:rPr>
              <w:t>Added quini</w:t>
            </w:r>
            <w:r w:rsidR="00800AFF">
              <w:rPr>
                <w:sz w:val="18"/>
                <w:szCs w:val="18"/>
                <w:lang w:val="en-AU"/>
              </w:rPr>
              <w:t>ne</w:t>
            </w:r>
            <w:r>
              <w:rPr>
                <w:sz w:val="18"/>
                <w:szCs w:val="18"/>
                <w:lang w:val="en-AU"/>
              </w:rPr>
              <w:t xml:space="preserve"> as one of the schizontocidal treatments considered</w:t>
            </w:r>
            <w:r w:rsidR="007468FD">
              <w:rPr>
                <w:sz w:val="18"/>
                <w:szCs w:val="18"/>
                <w:lang w:val="en-AU"/>
              </w:rPr>
              <w:t xml:space="preserve"> to include a relevant </w:t>
            </w:r>
            <w:proofErr w:type="gramStart"/>
            <w:r w:rsidR="007468FD">
              <w:rPr>
                <w:sz w:val="18"/>
                <w:szCs w:val="18"/>
                <w:lang w:val="en-AU"/>
              </w:rPr>
              <w:t>study</w:t>
            </w:r>
            <w:proofErr w:type="gramEnd"/>
          </w:p>
          <w:p w:rsidR="00092071" w:rsidP="00FF137C" w:rsidRDefault="00800AFF" w14:paraId="2C4E1EBA" w14:textId="77777777">
            <w:pPr>
              <w:pStyle w:val="Default"/>
              <w:numPr>
                <w:ilvl w:val="0"/>
                <w:numId w:val="16"/>
              </w:numPr>
              <w:ind w:left="180" w:hanging="180"/>
              <w:rPr>
                <w:sz w:val="18"/>
                <w:szCs w:val="18"/>
                <w:lang w:val="en-AU"/>
              </w:rPr>
            </w:pPr>
            <w:r>
              <w:rPr>
                <w:sz w:val="18"/>
                <w:szCs w:val="18"/>
                <w:lang w:val="en-AU"/>
              </w:rPr>
              <w:t xml:space="preserve">Updated the causal directed acyclic graph for better </w:t>
            </w:r>
            <w:proofErr w:type="gramStart"/>
            <w:r>
              <w:rPr>
                <w:sz w:val="18"/>
                <w:szCs w:val="18"/>
                <w:lang w:val="en-AU"/>
              </w:rPr>
              <w:t>clarity</w:t>
            </w:r>
            <w:proofErr w:type="gramEnd"/>
          </w:p>
          <w:p w:rsidR="00800AFF" w:rsidP="00FF137C" w:rsidRDefault="008451D9" w14:paraId="40CB6FB7" w14:textId="3355CAF7">
            <w:pPr>
              <w:pStyle w:val="Default"/>
              <w:numPr>
                <w:ilvl w:val="0"/>
                <w:numId w:val="16"/>
              </w:numPr>
              <w:ind w:left="180" w:hanging="180"/>
              <w:rPr>
                <w:sz w:val="18"/>
                <w:szCs w:val="18"/>
                <w:lang w:val="en-AU"/>
              </w:rPr>
            </w:pPr>
            <w:r>
              <w:rPr>
                <w:sz w:val="18"/>
                <w:szCs w:val="18"/>
                <w:lang w:val="en-AU"/>
              </w:rPr>
              <w:t xml:space="preserve">Updated the logarithmic transformation to base 2 for improved clinical interpretability of the model </w:t>
            </w:r>
            <w:proofErr w:type="gramStart"/>
            <w:r>
              <w:rPr>
                <w:sz w:val="18"/>
                <w:szCs w:val="18"/>
                <w:lang w:val="en-AU"/>
              </w:rPr>
              <w:t>estimates</w:t>
            </w:r>
            <w:proofErr w:type="gramEnd"/>
          </w:p>
          <w:p w:rsidR="008451D9" w:rsidP="00FF137C" w:rsidRDefault="007468FD" w14:paraId="4E5369A6" w14:textId="7990D76D">
            <w:pPr>
              <w:pStyle w:val="Default"/>
              <w:numPr>
                <w:ilvl w:val="0"/>
                <w:numId w:val="16"/>
              </w:numPr>
              <w:ind w:left="180" w:hanging="180"/>
              <w:rPr>
                <w:sz w:val="18"/>
                <w:szCs w:val="18"/>
                <w:lang w:val="en-AU"/>
              </w:rPr>
            </w:pPr>
            <w:r>
              <w:rPr>
                <w:sz w:val="18"/>
                <w:szCs w:val="18"/>
                <w:lang w:val="en-AU"/>
              </w:rPr>
              <w:t xml:space="preserve">Added a random-effects term for day-7 methaemoglobin concentration to allow estimation of between-site variability of this </w:t>
            </w:r>
            <w:proofErr w:type="gramStart"/>
            <w:r w:rsidR="0012488C">
              <w:rPr>
                <w:sz w:val="18"/>
                <w:szCs w:val="18"/>
                <w:lang w:val="en-AU"/>
              </w:rPr>
              <w:t>predictor</w:t>
            </w:r>
            <w:proofErr w:type="gramEnd"/>
          </w:p>
          <w:p w:rsidR="007468FD" w:rsidP="00FF137C" w:rsidRDefault="007468FD" w14:paraId="0030595E" w14:textId="77777777">
            <w:pPr>
              <w:pStyle w:val="Default"/>
              <w:numPr>
                <w:ilvl w:val="0"/>
                <w:numId w:val="16"/>
              </w:numPr>
              <w:ind w:left="180" w:hanging="180"/>
              <w:rPr>
                <w:sz w:val="18"/>
                <w:szCs w:val="18"/>
                <w:lang w:val="en-AU"/>
              </w:rPr>
            </w:pPr>
            <w:r>
              <w:rPr>
                <w:sz w:val="18"/>
                <w:szCs w:val="18"/>
                <w:lang w:val="en-AU"/>
              </w:rPr>
              <w:t>Added primaquine duration as an adjust</w:t>
            </w:r>
            <w:r w:rsidR="0012488C">
              <w:rPr>
                <w:sz w:val="18"/>
                <w:szCs w:val="18"/>
                <w:lang w:val="en-AU"/>
              </w:rPr>
              <w:t>ment</w:t>
            </w:r>
            <w:r>
              <w:rPr>
                <w:sz w:val="18"/>
                <w:szCs w:val="18"/>
                <w:lang w:val="en-AU"/>
              </w:rPr>
              <w:t xml:space="preserve"> factor and its interaction</w:t>
            </w:r>
            <w:r w:rsidR="0012488C">
              <w:rPr>
                <w:sz w:val="18"/>
                <w:szCs w:val="18"/>
                <w:lang w:val="en-AU"/>
              </w:rPr>
              <w:t xml:space="preserve"> term</w:t>
            </w:r>
            <w:r>
              <w:rPr>
                <w:sz w:val="18"/>
                <w:szCs w:val="18"/>
                <w:lang w:val="en-AU"/>
              </w:rPr>
              <w:t xml:space="preserve"> with </w:t>
            </w:r>
            <w:r w:rsidR="0012488C">
              <w:rPr>
                <w:sz w:val="18"/>
                <w:szCs w:val="18"/>
                <w:lang w:val="en-AU"/>
              </w:rPr>
              <w:t xml:space="preserve">daily primaquine dose to improve model </w:t>
            </w:r>
            <w:proofErr w:type="gramStart"/>
            <w:r w:rsidR="0012488C">
              <w:rPr>
                <w:sz w:val="18"/>
                <w:szCs w:val="18"/>
                <w:lang w:val="en-AU"/>
              </w:rPr>
              <w:t>specification</w:t>
            </w:r>
            <w:proofErr w:type="gramEnd"/>
          </w:p>
          <w:p w:rsidRPr="007F0EB5" w:rsidR="0012488C" w:rsidP="00FF137C" w:rsidRDefault="0012488C" w14:paraId="61CEF43F" w14:textId="088E8014">
            <w:pPr>
              <w:pStyle w:val="Default"/>
              <w:numPr>
                <w:ilvl w:val="0"/>
                <w:numId w:val="16"/>
              </w:numPr>
              <w:ind w:left="180" w:hanging="180"/>
              <w:rPr>
                <w:sz w:val="18"/>
                <w:szCs w:val="18"/>
                <w:lang w:val="en-AU"/>
              </w:rPr>
            </w:pPr>
            <w:r w:rsidRPr="05943531" w:rsidR="0012488C">
              <w:rPr>
                <w:sz w:val="18"/>
                <w:szCs w:val="18"/>
                <w:lang w:val="en-AU"/>
              </w:rPr>
              <w:t>Updated signalling questions for risk of bias assessment for better clarity</w:t>
            </w:r>
          </w:p>
        </w:tc>
        <w:tc>
          <w:tcPr>
            <w:tcW w:w="2127" w:type="dxa"/>
            <w:tcMar/>
          </w:tcPr>
          <w:p w:rsidRPr="007F0EB5" w:rsidR="00FF137C" w:rsidP="4AF9E47B" w:rsidRDefault="008451D9" w14:paraId="5B7CFA90" w14:textId="19A5A6DC">
            <w:pPr>
              <w:pStyle w:val="Default"/>
              <w:rPr>
                <w:sz w:val="18"/>
                <w:szCs w:val="18"/>
                <w:highlight w:val="yellow"/>
                <w:lang w:val="en-AU"/>
              </w:rPr>
            </w:pPr>
            <w:r w:rsidRPr="008451D9">
              <w:rPr>
                <w:sz w:val="18"/>
                <w:szCs w:val="18"/>
                <w:lang w:val="en-AU"/>
              </w:rPr>
              <w:t>February 2024</w:t>
            </w:r>
          </w:p>
        </w:tc>
      </w:tr>
    </w:tbl>
    <w:p w:rsidRPr="003F41FF" w:rsidR="00457F3C" w:rsidP="00457F3C" w:rsidRDefault="00457F3C" w14:paraId="6C0EA97B" w14:textId="77777777">
      <w:pPr>
        <w:pStyle w:val="Default"/>
        <w:rPr>
          <w:color w:val="auto"/>
          <w:sz w:val="23"/>
          <w:szCs w:val="23"/>
          <w:lang w:val="en-AU"/>
        </w:rPr>
      </w:pPr>
    </w:p>
    <w:p w:rsidRPr="003F41FF" w:rsidR="00457F3C" w:rsidP="00457F3C" w:rsidRDefault="00457F3C" w14:paraId="0988B29F" w14:textId="77777777">
      <w:pPr>
        <w:pStyle w:val="Default"/>
        <w:rPr>
          <w:color w:val="auto"/>
          <w:sz w:val="23"/>
          <w:szCs w:val="23"/>
          <w:lang w:val="en-AU"/>
        </w:rPr>
      </w:pPr>
    </w:p>
    <w:p w:rsidRPr="003F41FF" w:rsidR="00457F3C" w:rsidP="00457F3C" w:rsidRDefault="00457F3C" w14:paraId="5C3936A2" w14:textId="77777777">
      <w:pPr>
        <w:pStyle w:val="Default"/>
        <w:rPr>
          <w:sz w:val="22"/>
          <w:szCs w:val="22"/>
          <w:lang w:val="en-AU"/>
        </w:rPr>
      </w:pPr>
      <w:r w:rsidRPr="4AF9E47B">
        <w:rPr>
          <w:sz w:val="22"/>
          <w:szCs w:val="22"/>
        </w:rPr>
        <w:t xml:space="preserve">WorldWide Antimalarial Resistance Network (WWARN) </w:t>
      </w:r>
    </w:p>
    <w:p w:rsidRPr="003F41FF" w:rsidR="00457F3C" w:rsidP="00457F3C" w:rsidRDefault="00457F3C" w14:paraId="19F1B986" w14:textId="77777777">
      <w:pPr>
        <w:pStyle w:val="Default"/>
        <w:rPr>
          <w:color w:val="auto"/>
          <w:sz w:val="23"/>
          <w:szCs w:val="23"/>
          <w:lang w:val="en-AU"/>
        </w:rPr>
      </w:pPr>
      <w:r w:rsidRPr="4AF9E47B">
        <w:rPr>
          <w:sz w:val="22"/>
          <w:szCs w:val="22"/>
        </w:rPr>
        <w:t>www.wwarn.org</w:t>
      </w:r>
    </w:p>
    <w:p w:rsidRPr="003F41FF" w:rsidR="00457F3C" w:rsidP="00457F3C" w:rsidRDefault="00457F3C" w14:paraId="696706E5" w14:textId="77777777">
      <w:pPr>
        <w:pStyle w:val="Default"/>
        <w:rPr>
          <w:color w:val="auto"/>
          <w:sz w:val="23"/>
          <w:szCs w:val="23"/>
          <w:lang w:val="en-AU"/>
        </w:rPr>
      </w:pPr>
    </w:p>
    <w:p w:rsidRPr="003F41FF" w:rsidR="00457F3C" w:rsidP="00457F3C" w:rsidRDefault="00457F3C" w14:paraId="30806864" w14:textId="77777777">
      <w:pPr>
        <w:pStyle w:val="Default"/>
        <w:rPr>
          <w:color w:val="auto"/>
          <w:sz w:val="23"/>
          <w:szCs w:val="23"/>
          <w:lang w:val="en-AU"/>
        </w:rPr>
      </w:pPr>
    </w:p>
    <w:p w:rsidRPr="003F41FF" w:rsidR="00457F3C" w:rsidP="00457F3C" w:rsidRDefault="00457F3C" w14:paraId="49319F11" w14:textId="77777777">
      <w:pPr>
        <w:pStyle w:val="Default"/>
        <w:rPr>
          <w:color w:val="auto"/>
          <w:sz w:val="23"/>
          <w:szCs w:val="23"/>
          <w:lang w:val="en-AU"/>
        </w:rPr>
      </w:pPr>
    </w:p>
    <w:p w:rsidRPr="003F41FF" w:rsidR="00457F3C" w:rsidP="00457F3C" w:rsidRDefault="00457F3C" w14:paraId="0FB027BF" w14:textId="77777777">
      <w:pPr>
        <w:pStyle w:val="Default"/>
        <w:rPr>
          <w:color w:val="auto"/>
          <w:sz w:val="23"/>
          <w:szCs w:val="23"/>
          <w:lang w:val="en-AU"/>
        </w:rPr>
      </w:pPr>
    </w:p>
    <w:p w:rsidRPr="003F41FF" w:rsidR="00457F3C" w:rsidP="00457F3C" w:rsidRDefault="00457F3C" w14:paraId="73F17252" w14:textId="77777777">
      <w:pPr>
        <w:pStyle w:val="Default"/>
        <w:rPr>
          <w:color w:val="auto"/>
          <w:sz w:val="23"/>
          <w:szCs w:val="23"/>
          <w:lang w:val="en-AU"/>
        </w:rPr>
        <w:sectPr w:rsidRPr="003F41FF" w:rsidR="00457F3C" w:rsidSect="00E9310C">
          <w:headerReference w:type="even" r:id="rId11"/>
          <w:headerReference w:type="default" r:id="rId12"/>
          <w:pgSz w:w="11899" w:h="17340" w:orient="portrait"/>
          <w:pgMar w:top="1880" w:right="804" w:bottom="658" w:left="1580" w:header="720" w:footer="720" w:gutter="0"/>
          <w:pgNumType w:start="1"/>
          <w:cols w:space="720"/>
          <w:noEndnote/>
          <w:titlePg/>
        </w:sectPr>
      </w:pPr>
    </w:p>
    <w:p w:rsidRPr="005C4BBD" w:rsidR="00457F3C" w:rsidP="4AF9E47B" w:rsidRDefault="00457F3C" w14:paraId="10BBACE0" w14:textId="0C0E6C8D">
      <w:pPr>
        <w:pStyle w:val="Heading1"/>
        <w:rPr>
          <w:lang w:val="en-GB"/>
        </w:rPr>
      </w:pPr>
      <w:bookmarkStart w:name="_Toc457401123" w:id="1"/>
      <w:bookmarkStart w:name="_Toc457660137" w:id="2"/>
      <w:bookmarkStart w:name="_Toc84017820" w:id="3"/>
      <w:r w:rsidRPr="00CA092E">
        <w:rPr>
          <w:lang w:val="en-GB"/>
        </w:rPr>
        <w:t>Contents</w:t>
      </w:r>
      <w:bookmarkEnd w:id="1"/>
      <w:bookmarkEnd w:id="2"/>
      <w:bookmarkEnd w:id="3"/>
    </w:p>
    <w:p w:rsidRPr="00E476AE" w:rsidR="00797528" w:rsidP="4AF9E47B" w:rsidRDefault="00457F3C" w14:paraId="7D1AC909" w14:textId="6CFF0D15">
      <w:pPr>
        <w:pStyle w:val="TOC1"/>
        <w:tabs>
          <w:tab w:val="right" w:leader="dot" w:pos="9010"/>
        </w:tabs>
        <w:rPr>
          <w:rFonts w:eastAsiaTheme="minorEastAsia" w:cstheme="minorHAnsi"/>
          <w:noProof/>
          <w:sz w:val="22"/>
          <w:szCs w:val="22"/>
          <w:lang w:val="en-AU" w:eastAsia="en-GB"/>
        </w:rPr>
      </w:pPr>
      <w:r w:rsidRPr="00E476AE">
        <w:rPr>
          <w:rFonts w:cstheme="minorHAnsi"/>
          <w:b w:val="0"/>
          <w:bCs w:val="0"/>
          <w:sz w:val="22"/>
          <w:szCs w:val="22"/>
          <w:lang w:val="en-AU"/>
        </w:rPr>
        <w:fldChar w:fldCharType="begin"/>
      </w:r>
      <w:r w:rsidRPr="00E476AE">
        <w:rPr>
          <w:rFonts w:cstheme="minorHAnsi"/>
          <w:b w:val="0"/>
          <w:bCs w:val="0"/>
          <w:sz w:val="22"/>
          <w:szCs w:val="22"/>
          <w:lang w:val="en-AU"/>
        </w:rPr>
        <w:instrText xml:space="preserve"> TOC \o "1-3" </w:instrText>
      </w:r>
      <w:r w:rsidRPr="00E476AE">
        <w:rPr>
          <w:rFonts w:cstheme="minorHAnsi"/>
          <w:b w:val="0"/>
          <w:bCs w:val="0"/>
          <w:sz w:val="22"/>
          <w:szCs w:val="22"/>
          <w:lang w:val="en-AU"/>
        </w:rPr>
        <w:fldChar w:fldCharType="separate"/>
      </w:r>
      <w:r w:rsidRPr="00E476AE" w:rsidR="00797528">
        <w:rPr>
          <w:rFonts w:cstheme="minorHAnsi"/>
          <w:sz w:val="22"/>
          <w:szCs w:val="22"/>
        </w:rPr>
        <w:t>Contents</w:t>
      </w:r>
      <w:r w:rsidRPr="00E476AE">
        <w:rPr>
          <w:rFonts w:cstheme="minorHAnsi"/>
          <w:sz w:val="22"/>
          <w:szCs w:val="22"/>
        </w:rPr>
        <w:tab/>
      </w:r>
      <w:r w:rsidRPr="00E476AE" w:rsidR="00E3672C">
        <w:rPr>
          <w:rFonts w:cstheme="minorHAnsi"/>
          <w:sz w:val="22"/>
          <w:szCs w:val="22"/>
        </w:rPr>
        <w:t>3</w:t>
      </w:r>
    </w:p>
    <w:p w:rsidRPr="00E476AE" w:rsidR="00797528" w:rsidP="4AF9E47B" w:rsidRDefault="00797528" w14:paraId="079F6A77" w14:textId="03CB8B95">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1. Introduction and Rationale</w:t>
      </w:r>
      <w:r w:rsidRPr="00E476AE">
        <w:rPr>
          <w:rFonts w:cstheme="minorHAnsi"/>
          <w:sz w:val="22"/>
          <w:szCs w:val="22"/>
        </w:rPr>
        <w:tab/>
      </w:r>
      <w:r w:rsidRPr="00E476AE" w:rsidR="00E14DAC">
        <w:rPr>
          <w:rFonts w:cstheme="minorHAnsi"/>
          <w:sz w:val="22"/>
          <w:szCs w:val="22"/>
        </w:rPr>
        <w:t>4</w:t>
      </w:r>
    </w:p>
    <w:p w:rsidRPr="00E476AE" w:rsidR="005C52E3" w:rsidP="4AF9E47B" w:rsidRDefault="005C52E3" w14:paraId="3063F4B5" w14:textId="5E555FF2">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1.1 </w:t>
      </w:r>
      <w:r w:rsidRPr="00E476AE" w:rsidR="00E14DAC">
        <w:rPr>
          <w:rFonts w:cstheme="minorHAnsi"/>
          <w:b w:val="0"/>
          <w:bCs w:val="0"/>
          <w:color w:val="000000" w:themeColor="text1"/>
        </w:rPr>
        <w:t>Background</w:t>
      </w:r>
      <w:r w:rsidRPr="00E476AE" w:rsidR="00E14DAC">
        <w:rPr>
          <w:rFonts w:cstheme="minorHAnsi"/>
          <w:b w:val="0"/>
          <w:bCs w:val="0"/>
          <w:color w:val="000000" w:themeColor="text1"/>
        </w:rPr>
        <w:tab/>
      </w:r>
      <w:r w:rsidRPr="00E476AE" w:rsidR="00E14DAC">
        <w:rPr>
          <w:rFonts w:cstheme="minorHAnsi"/>
          <w:b w:val="0"/>
          <w:bCs w:val="0"/>
          <w:color w:val="000000" w:themeColor="text1"/>
        </w:rPr>
        <w:t>4</w:t>
      </w:r>
    </w:p>
    <w:p w:rsidRPr="00E476AE" w:rsidR="005C52E3" w:rsidP="4AF9E47B" w:rsidRDefault="00797528" w14:paraId="39F087EA" w14:textId="24264091">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1.2. Aim of the study</w:t>
      </w:r>
      <w:r w:rsidRPr="00E476AE">
        <w:rPr>
          <w:rFonts w:cstheme="minorHAnsi"/>
          <w:b w:val="0"/>
          <w:bCs w:val="0"/>
          <w:color w:val="000000" w:themeColor="text1"/>
        </w:rPr>
        <w:tab/>
      </w:r>
      <w:r w:rsidRPr="00E476AE" w:rsidR="00E34C21">
        <w:rPr>
          <w:rFonts w:cstheme="minorHAnsi"/>
          <w:b w:val="0"/>
          <w:bCs w:val="0"/>
          <w:color w:val="000000" w:themeColor="text1"/>
        </w:rPr>
        <w:t>4</w:t>
      </w:r>
    </w:p>
    <w:p w:rsidRPr="00E476AE" w:rsidR="00797528" w:rsidP="4AF9E47B" w:rsidRDefault="00797528" w14:paraId="40011D41" w14:textId="603259AA">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 xml:space="preserve">1.3. Eligibility criteria for inclusion </w:t>
      </w:r>
      <w:r w:rsidRPr="00E476AE" w:rsidR="00FE7ABC">
        <w:rPr>
          <w:rFonts w:cstheme="minorHAnsi"/>
          <w:b w:val="0"/>
          <w:bCs w:val="0"/>
          <w:color w:val="000000" w:themeColor="text1"/>
        </w:rPr>
        <w:t>in analysis</w:t>
      </w:r>
      <w:r w:rsidRPr="00E476AE">
        <w:rPr>
          <w:rFonts w:cstheme="minorHAnsi"/>
          <w:b w:val="0"/>
          <w:bCs w:val="0"/>
          <w:color w:val="000000" w:themeColor="text1"/>
        </w:rPr>
        <w:tab/>
      </w:r>
      <w:r w:rsidRPr="00E476AE" w:rsidR="00F75F65">
        <w:rPr>
          <w:rFonts w:cstheme="minorHAnsi"/>
          <w:b w:val="0"/>
          <w:bCs w:val="0"/>
          <w:color w:val="000000" w:themeColor="text1"/>
        </w:rPr>
        <w:t>4</w:t>
      </w:r>
    </w:p>
    <w:p w:rsidRPr="00DE3292" w:rsidR="00DE3292" w:rsidP="00DE3292" w:rsidRDefault="00797528" w14:paraId="6FA3C2C7" w14:textId="1E5161A6">
      <w:pPr>
        <w:pStyle w:val="TOC2"/>
        <w:tabs>
          <w:tab w:val="left" w:pos="960"/>
          <w:tab w:val="right" w:leader="dot" w:pos="9010"/>
        </w:tabs>
        <w:ind w:firstLine="206"/>
        <w:rPr>
          <w:rFonts w:cstheme="minorHAnsi"/>
          <w:b w:val="0"/>
          <w:bCs w:val="0"/>
          <w:color w:val="000000" w:themeColor="text1"/>
        </w:rPr>
      </w:pPr>
      <w:r w:rsidRPr="00E476AE">
        <w:rPr>
          <w:rFonts w:eastAsiaTheme="minorEastAsia" w:cstheme="minorHAnsi"/>
          <w:b w:val="0"/>
          <w:bCs w:val="0"/>
          <w:color w:val="000000" w:themeColor="text1"/>
        </w:rPr>
        <w:t>1.3.1</w:t>
      </w:r>
      <w:r w:rsidR="00DE3292">
        <w:rPr>
          <w:rFonts w:cstheme="minorHAnsi"/>
          <w:b w:val="0"/>
          <w:bCs w:val="0"/>
          <w:color w:val="000000" w:themeColor="text1"/>
        </w:rPr>
        <w:t xml:space="preserve"> </w:t>
      </w:r>
      <w:r w:rsidRPr="00E476AE">
        <w:rPr>
          <w:rFonts w:cstheme="minorHAnsi"/>
          <w:b w:val="0"/>
          <w:bCs w:val="0"/>
          <w:color w:val="000000" w:themeColor="text1"/>
        </w:rPr>
        <w:t xml:space="preserve">Essential </w:t>
      </w:r>
      <w:r w:rsidR="00DE3292">
        <w:rPr>
          <w:rFonts w:cstheme="minorHAnsi"/>
          <w:b w:val="0"/>
          <w:bCs w:val="0"/>
          <w:color w:val="000000" w:themeColor="text1"/>
        </w:rPr>
        <w:t>criteria</w:t>
      </w:r>
      <w:r w:rsidRPr="00E476AE">
        <w:rPr>
          <w:rFonts w:cstheme="minorHAnsi"/>
          <w:b w:val="0"/>
          <w:bCs w:val="0"/>
          <w:color w:val="000000" w:themeColor="text1"/>
        </w:rPr>
        <w:t xml:space="preserve"> </w:t>
      </w:r>
      <w:r w:rsidR="00DE3292">
        <w:rPr>
          <w:rFonts w:cstheme="minorHAnsi"/>
          <w:b w:val="0"/>
          <w:bCs w:val="0"/>
          <w:color w:val="000000" w:themeColor="text1"/>
        </w:rPr>
        <w:t>of eligible studies</w:t>
      </w:r>
      <w:r w:rsidRPr="00E476AE">
        <w:rPr>
          <w:rFonts w:cstheme="minorHAnsi"/>
          <w:b w:val="0"/>
          <w:bCs w:val="0"/>
          <w:color w:val="000000" w:themeColor="text1"/>
        </w:rPr>
        <w:tab/>
      </w:r>
      <w:r w:rsidRPr="00E476AE" w:rsidR="004567C1">
        <w:rPr>
          <w:rFonts w:cstheme="minorHAnsi"/>
          <w:b w:val="0"/>
          <w:bCs w:val="0"/>
          <w:color w:val="000000" w:themeColor="text1"/>
        </w:rPr>
        <w:t>4</w:t>
      </w:r>
    </w:p>
    <w:p w:rsidR="00DE3292" w:rsidP="00C1319D" w:rsidRDefault="00797528" w14:paraId="679E4B3D" w14:textId="331BE529">
      <w:pPr>
        <w:pStyle w:val="TOC2"/>
        <w:tabs>
          <w:tab w:val="left" w:pos="960"/>
          <w:tab w:val="right" w:leader="dot" w:pos="9010"/>
        </w:tabs>
        <w:ind w:firstLine="206"/>
        <w:rPr>
          <w:rFonts w:cstheme="minorHAnsi"/>
          <w:b w:val="0"/>
          <w:bCs w:val="0"/>
          <w:color w:val="000000" w:themeColor="text1"/>
        </w:rPr>
      </w:pPr>
      <w:r w:rsidRPr="00E476AE">
        <w:rPr>
          <w:rFonts w:cstheme="minorHAnsi"/>
          <w:b w:val="0"/>
          <w:bCs w:val="0"/>
          <w:color w:val="000000" w:themeColor="text1"/>
        </w:rPr>
        <w:t>1.3.2</w:t>
      </w:r>
      <w:r w:rsidR="00DE3292">
        <w:rPr>
          <w:rFonts w:cstheme="minorHAnsi"/>
          <w:b w:val="0"/>
          <w:bCs w:val="0"/>
          <w:color w:val="000000" w:themeColor="text1"/>
        </w:rPr>
        <w:t xml:space="preserve"> Essential data for inclusion in the analysis</w:t>
      </w:r>
      <w:r w:rsidRPr="00E476AE">
        <w:rPr>
          <w:rFonts w:cstheme="minorHAnsi"/>
          <w:b w:val="0"/>
          <w:bCs w:val="0"/>
          <w:color w:val="000000" w:themeColor="text1"/>
        </w:rPr>
        <w:tab/>
      </w:r>
      <w:r w:rsidR="00DE3292">
        <w:rPr>
          <w:rFonts w:cstheme="minorHAnsi"/>
          <w:b w:val="0"/>
          <w:bCs w:val="0"/>
          <w:color w:val="000000" w:themeColor="text1"/>
        </w:rPr>
        <w:t>4</w:t>
      </w:r>
    </w:p>
    <w:p w:rsidRPr="00E476AE" w:rsidR="00797528" w:rsidP="00C1319D" w:rsidRDefault="00DE3292" w14:paraId="03E609BB" w14:textId="16FBA166">
      <w:pPr>
        <w:pStyle w:val="TOC2"/>
        <w:tabs>
          <w:tab w:val="left" w:pos="960"/>
          <w:tab w:val="right" w:leader="dot" w:pos="9010"/>
        </w:tabs>
        <w:ind w:firstLine="206"/>
        <w:rPr>
          <w:rFonts w:eastAsiaTheme="minorEastAsia" w:cstheme="minorHAnsi"/>
          <w:b w:val="0"/>
          <w:bCs w:val="0"/>
          <w:noProof/>
          <w:color w:val="000000" w:themeColor="text1"/>
          <w:lang w:val="en-AU" w:eastAsia="en-GB"/>
        </w:rPr>
      </w:pPr>
      <w:r>
        <w:rPr>
          <w:rFonts w:cstheme="minorHAnsi"/>
          <w:b w:val="0"/>
          <w:bCs w:val="0"/>
          <w:color w:val="000000" w:themeColor="text1"/>
        </w:rPr>
        <w:t>1.3.3 Desirable</w:t>
      </w:r>
      <w:r w:rsidRPr="00E476AE" w:rsidR="00797528">
        <w:rPr>
          <w:rFonts w:cstheme="minorHAnsi"/>
          <w:b w:val="0"/>
          <w:bCs w:val="0"/>
          <w:color w:val="000000" w:themeColor="text1"/>
        </w:rPr>
        <w:t xml:space="preserve"> data for inclusion in the analysis</w:t>
      </w:r>
      <w:r w:rsidRPr="00E476AE" w:rsidR="00797528">
        <w:rPr>
          <w:rFonts w:cstheme="minorHAnsi"/>
          <w:b w:val="0"/>
          <w:bCs w:val="0"/>
          <w:color w:val="000000" w:themeColor="text1"/>
        </w:rPr>
        <w:tab/>
      </w:r>
      <w:r w:rsidRPr="00E476AE" w:rsidR="004567C1">
        <w:rPr>
          <w:rFonts w:cstheme="minorHAnsi"/>
          <w:b w:val="0"/>
          <w:bCs w:val="0"/>
          <w:color w:val="000000" w:themeColor="text1"/>
        </w:rPr>
        <w:t>4</w:t>
      </w:r>
    </w:p>
    <w:p w:rsidRPr="00E476AE" w:rsidR="00797528" w:rsidP="00C1319D" w:rsidRDefault="00797528" w14:paraId="2B0FEF6D" w14:textId="4E6B746F">
      <w:pPr>
        <w:pStyle w:val="TOC2"/>
        <w:tabs>
          <w:tab w:val="left" w:pos="960"/>
          <w:tab w:val="right" w:leader="dot" w:pos="9010"/>
        </w:tabs>
        <w:ind w:firstLine="206"/>
        <w:rPr>
          <w:rFonts w:eastAsiaTheme="minorEastAsia" w:cstheme="minorHAnsi"/>
          <w:b w:val="0"/>
          <w:bCs w:val="0"/>
          <w:noProof/>
          <w:color w:val="000000" w:themeColor="text1"/>
          <w:lang w:val="en-AU" w:eastAsia="en-GB"/>
        </w:rPr>
      </w:pPr>
      <w:r w:rsidRPr="00E476AE">
        <w:rPr>
          <w:rFonts w:cstheme="minorHAnsi"/>
          <w:b w:val="0"/>
          <w:bCs w:val="0"/>
          <w:color w:val="000000" w:themeColor="text1"/>
        </w:rPr>
        <w:t>1.3.</w:t>
      </w:r>
      <w:r w:rsidR="00DE3292">
        <w:rPr>
          <w:rFonts w:cstheme="minorHAnsi"/>
          <w:b w:val="0"/>
          <w:bCs w:val="0"/>
          <w:color w:val="000000" w:themeColor="text1"/>
        </w:rPr>
        <w:t xml:space="preserve">4 </w:t>
      </w:r>
      <w:r w:rsidRPr="00E476AE">
        <w:rPr>
          <w:rFonts w:cstheme="minorHAnsi"/>
          <w:b w:val="0"/>
          <w:bCs w:val="0"/>
          <w:color w:val="000000" w:themeColor="text1"/>
        </w:rPr>
        <w:t>Exclusion criteria</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7E7952EC" w14:textId="611ACB8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1.</w:t>
      </w:r>
      <w:r w:rsidRPr="00E476AE" w:rsidR="005C52E3">
        <w:rPr>
          <w:rFonts w:cstheme="minorHAnsi"/>
          <w:b w:val="0"/>
          <w:bCs w:val="0"/>
          <w:color w:val="000000" w:themeColor="text1"/>
        </w:rPr>
        <w:t>4</w:t>
      </w:r>
      <w:r w:rsidRPr="00E476AE">
        <w:rPr>
          <w:rFonts w:cstheme="minorHAnsi"/>
          <w:b w:val="0"/>
          <w:bCs w:val="0"/>
          <w:color w:val="000000" w:themeColor="text1"/>
        </w:rPr>
        <w:t>. Data Pooling</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0F6F119D" w14:textId="5BFF8E4D">
      <w:pPr>
        <w:pStyle w:val="TOC1"/>
        <w:tabs>
          <w:tab w:val="right" w:leader="dot" w:pos="9010"/>
        </w:tabs>
        <w:rPr>
          <w:rFonts w:eastAsiaTheme="minorEastAsia" w:cstheme="minorHAnsi"/>
          <w:noProof/>
          <w:color w:val="000000" w:themeColor="text1"/>
          <w:sz w:val="22"/>
          <w:szCs w:val="22"/>
          <w:lang w:val="en-AU" w:eastAsia="en-GB"/>
        </w:rPr>
      </w:pPr>
      <w:r w:rsidRPr="00E476AE">
        <w:rPr>
          <w:rFonts w:cstheme="minorHAnsi"/>
          <w:color w:val="000000" w:themeColor="text1"/>
          <w:sz w:val="22"/>
          <w:szCs w:val="22"/>
        </w:rPr>
        <w:t>2. Outline of Statistical Analysis</w:t>
      </w:r>
      <w:r w:rsidRPr="00E476AE">
        <w:rPr>
          <w:rFonts w:cstheme="minorHAnsi"/>
          <w:color w:val="000000" w:themeColor="text1"/>
          <w:sz w:val="22"/>
          <w:szCs w:val="22"/>
        </w:rPr>
        <w:tab/>
      </w:r>
      <w:r w:rsidRPr="00E476AE" w:rsidR="004567C1">
        <w:rPr>
          <w:rFonts w:cstheme="minorHAnsi"/>
          <w:color w:val="000000" w:themeColor="text1"/>
          <w:sz w:val="22"/>
          <w:szCs w:val="22"/>
        </w:rPr>
        <w:t>5</w:t>
      </w:r>
    </w:p>
    <w:p w:rsidRPr="00E476AE" w:rsidR="00797528" w:rsidP="4AF9E47B" w:rsidRDefault="00797528" w14:paraId="33035A79" w14:textId="6F49E349">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2.1 Specific objective of the study</w:t>
      </w:r>
      <w:r w:rsidRPr="00E476AE">
        <w:rPr>
          <w:rFonts w:cstheme="minorHAnsi"/>
          <w:b w:val="0"/>
          <w:bCs w:val="0"/>
          <w:color w:val="000000" w:themeColor="text1"/>
        </w:rPr>
        <w:tab/>
      </w:r>
      <w:r w:rsidRPr="00E476AE" w:rsidR="004567C1">
        <w:rPr>
          <w:rFonts w:cstheme="minorHAnsi"/>
          <w:b w:val="0"/>
          <w:bCs w:val="0"/>
          <w:color w:val="000000" w:themeColor="text1"/>
        </w:rPr>
        <w:t>5</w:t>
      </w:r>
    </w:p>
    <w:p w:rsidRPr="00E476AE" w:rsidR="00797528" w:rsidP="4AF9E47B" w:rsidRDefault="00797528" w14:paraId="22B2B4C4" w14:textId="72BFD29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 xml:space="preserve">2.2 </w:t>
      </w:r>
      <w:r w:rsidR="00B94A6D">
        <w:rPr>
          <w:rFonts w:cstheme="minorHAnsi"/>
          <w:b w:val="0"/>
          <w:bCs w:val="0"/>
          <w:color w:val="000000" w:themeColor="text1"/>
        </w:rPr>
        <w:t>Primary s</w:t>
      </w:r>
      <w:r w:rsidRPr="00E476AE">
        <w:rPr>
          <w:rFonts w:cstheme="minorHAnsi"/>
          <w:b w:val="0"/>
          <w:bCs w:val="0"/>
          <w:color w:val="000000" w:themeColor="text1"/>
        </w:rPr>
        <w:t>tudy endpoint</w:t>
      </w:r>
      <w:r w:rsidRPr="00E476AE">
        <w:rPr>
          <w:rFonts w:cstheme="minorHAnsi"/>
          <w:b w:val="0"/>
          <w:bCs w:val="0"/>
          <w:color w:val="000000" w:themeColor="text1"/>
        </w:rPr>
        <w:tab/>
      </w:r>
      <w:r w:rsidRPr="00E476AE" w:rsidR="00652843">
        <w:rPr>
          <w:rFonts w:cstheme="minorHAnsi"/>
          <w:b w:val="0"/>
          <w:bCs w:val="0"/>
          <w:color w:val="000000" w:themeColor="text1"/>
        </w:rPr>
        <w:t>5</w:t>
      </w:r>
    </w:p>
    <w:p w:rsidRPr="00E476AE" w:rsidR="008F75D9" w:rsidP="008F75D9" w:rsidRDefault="00797528" w14:paraId="26D81C93" w14:textId="3EA381BD">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2.3 Definition of </w:t>
      </w:r>
      <w:r w:rsidRPr="00E476AE" w:rsidR="00652843">
        <w:rPr>
          <w:rFonts w:cstheme="minorHAnsi"/>
          <w:b w:val="0"/>
          <w:bCs w:val="0"/>
          <w:color w:val="000000" w:themeColor="text1"/>
        </w:rPr>
        <w:t>e</w:t>
      </w:r>
      <w:r w:rsidRPr="00E476AE">
        <w:rPr>
          <w:rFonts w:cstheme="minorHAnsi"/>
          <w:b w:val="0"/>
          <w:bCs w:val="0"/>
          <w:color w:val="000000" w:themeColor="text1"/>
        </w:rPr>
        <w:t>ndpoint</w:t>
      </w:r>
      <w:r w:rsidRPr="00E476AE">
        <w:rPr>
          <w:rFonts w:cstheme="minorHAnsi"/>
          <w:b w:val="0"/>
          <w:bCs w:val="0"/>
          <w:color w:val="000000" w:themeColor="text1"/>
        </w:rPr>
        <w:tab/>
      </w:r>
      <w:r w:rsidRPr="00E476AE" w:rsidR="00652843">
        <w:rPr>
          <w:rFonts w:cstheme="minorHAnsi"/>
          <w:b w:val="0"/>
          <w:bCs w:val="0"/>
          <w:color w:val="000000" w:themeColor="text1"/>
        </w:rPr>
        <w:t>5</w:t>
      </w:r>
    </w:p>
    <w:p w:rsidRPr="00E476AE" w:rsidR="008F75D9" w:rsidP="008F75D9" w:rsidRDefault="008F75D9" w14:paraId="3745ED7D" w14:textId="6419F5AF">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 xml:space="preserve">2.4 Definition of </w:t>
      </w:r>
      <w:r w:rsidRPr="00E476AE" w:rsidR="000023FF">
        <w:rPr>
          <w:rFonts w:cstheme="minorHAnsi"/>
          <w:b w:val="0"/>
          <w:bCs w:val="0"/>
          <w:color w:val="000000" w:themeColor="text1"/>
        </w:rPr>
        <w:t>time zero</w:t>
      </w:r>
      <w:r w:rsidRPr="00E476AE">
        <w:rPr>
          <w:rFonts w:cstheme="minorHAnsi"/>
          <w:b w:val="0"/>
          <w:bCs w:val="0"/>
          <w:color w:val="000000" w:themeColor="text1"/>
        </w:rPr>
        <w:tab/>
      </w:r>
      <w:r w:rsidRPr="00E476AE">
        <w:rPr>
          <w:rFonts w:cstheme="minorHAnsi"/>
          <w:b w:val="0"/>
          <w:bCs w:val="0"/>
          <w:color w:val="000000" w:themeColor="text1"/>
        </w:rPr>
        <w:t>5</w:t>
      </w:r>
    </w:p>
    <w:p w:rsidRPr="00E476AE" w:rsidR="00797528" w:rsidP="4AF9E47B" w:rsidRDefault="00797528" w14:paraId="353715E1" w14:textId="1ABE7305">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8F75D9">
        <w:rPr>
          <w:rFonts w:cstheme="minorHAnsi"/>
          <w:b w:val="0"/>
          <w:bCs w:val="0"/>
          <w:color w:val="000000" w:themeColor="text1"/>
        </w:rPr>
        <w:t>5</w:t>
      </w:r>
      <w:r w:rsidRPr="00E476AE">
        <w:rPr>
          <w:rFonts w:cstheme="minorHAnsi"/>
          <w:b w:val="0"/>
          <w:bCs w:val="0"/>
          <w:color w:val="000000" w:themeColor="text1"/>
        </w:rPr>
        <w:t xml:space="preserve"> Study and patient characteristics</w:t>
      </w:r>
      <w:r w:rsidRPr="00E476AE">
        <w:rPr>
          <w:rFonts w:cstheme="minorHAnsi"/>
          <w:b w:val="0"/>
          <w:bCs w:val="0"/>
          <w:color w:val="000000" w:themeColor="text1"/>
        </w:rPr>
        <w:tab/>
      </w:r>
      <w:r w:rsidRPr="00E476AE" w:rsidR="00F8282E">
        <w:rPr>
          <w:rFonts w:cstheme="minorHAnsi"/>
          <w:b w:val="0"/>
          <w:bCs w:val="0"/>
          <w:color w:val="000000" w:themeColor="text1"/>
        </w:rPr>
        <w:t>5</w:t>
      </w:r>
    </w:p>
    <w:p w:rsidRPr="00E476AE" w:rsidR="00797528" w:rsidP="4AF9E47B" w:rsidRDefault="00797528" w14:paraId="1D4F2372" w14:textId="54FDA69B">
      <w:pPr>
        <w:pStyle w:val="TOC2"/>
        <w:tabs>
          <w:tab w:val="right" w:leader="dot" w:pos="9010"/>
        </w:tabs>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8F75D9">
        <w:rPr>
          <w:rFonts w:cstheme="minorHAnsi"/>
          <w:b w:val="0"/>
          <w:bCs w:val="0"/>
          <w:color w:val="000000" w:themeColor="text1"/>
        </w:rPr>
        <w:t>6</w:t>
      </w:r>
      <w:r w:rsidRPr="00E476AE">
        <w:rPr>
          <w:rFonts w:cstheme="minorHAnsi"/>
          <w:b w:val="0"/>
          <w:bCs w:val="0"/>
          <w:color w:val="000000" w:themeColor="text1"/>
        </w:rPr>
        <w:t xml:space="preserve"> </w:t>
      </w:r>
      <w:r w:rsidRPr="00E476AE" w:rsidR="00F8282E">
        <w:rPr>
          <w:rFonts w:cstheme="minorHAnsi"/>
          <w:b w:val="0"/>
          <w:bCs w:val="0"/>
          <w:color w:val="000000" w:themeColor="text1"/>
        </w:rPr>
        <w:t>Drug interventions and predictors</w:t>
      </w:r>
      <w:r w:rsidRPr="00E476AE">
        <w:rPr>
          <w:rFonts w:cstheme="minorHAnsi"/>
          <w:b w:val="0"/>
          <w:bCs w:val="0"/>
          <w:color w:val="000000" w:themeColor="text1"/>
        </w:rPr>
        <w:t xml:space="preserve"> of interest</w:t>
      </w:r>
      <w:r w:rsidRPr="00E476AE">
        <w:rPr>
          <w:rFonts w:cstheme="minorHAnsi"/>
          <w:b w:val="0"/>
          <w:bCs w:val="0"/>
          <w:color w:val="000000" w:themeColor="text1"/>
        </w:rPr>
        <w:tab/>
      </w:r>
      <w:r w:rsidRPr="00E476AE" w:rsidR="00F8282E">
        <w:rPr>
          <w:rFonts w:cstheme="minorHAnsi"/>
          <w:b w:val="0"/>
          <w:bCs w:val="0"/>
          <w:color w:val="000000" w:themeColor="text1"/>
        </w:rPr>
        <w:t>7</w:t>
      </w:r>
    </w:p>
    <w:p w:rsidRPr="00E476AE" w:rsidR="00BC5472" w:rsidP="00BC5472" w:rsidRDefault="00797528" w14:paraId="32CF5B70" w14:textId="717F1AFA">
      <w:pPr>
        <w:pStyle w:val="TOC2"/>
        <w:tabs>
          <w:tab w:val="right" w:leader="dot" w:pos="9010"/>
        </w:tabs>
        <w:rPr>
          <w:rFonts w:cstheme="minorHAnsi"/>
          <w:b w:val="0"/>
          <w:bCs w:val="0"/>
          <w:color w:val="000000" w:themeColor="text1"/>
        </w:rPr>
      </w:pPr>
      <w:r w:rsidRPr="00E476AE">
        <w:rPr>
          <w:rFonts w:cstheme="minorHAnsi"/>
          <w:b w:val="0"/>
          <w:bCs w:val="0"/>
          <w:color w:val="000000" w:themeColor="text1"/>
        </w:rPr>
        <w:t>2.</w:t>
      </w:r>
      <w:r w:rsidRPr="00E476AE" w:rsidR="00BC5472">
        <w:rPr>
          <w:rFonts w:cstheme="minorHAnsi"/>
          <w:b w:val="0"/>
          <w:bCs w:val="0"/>
          <w:color w:val="000000" w:themeColor="text1"/>
        </w:rPr>
        <w:t>7</w:t>
      </w:r>
      <w:r w:rsidRPr="00E476AE">
        <w:rPr>
          <w:rFonts w:cstheme="minorHAnsi"/>
          <w:b w:val="0"/>
          <w:bCs w:val="0"/>
          <w:color w:val="000000" w:themeColor="text1"/>
        </w:rPr>
        <w:t xml:space="preserve"> Summary of statistical analyses</w:t>
      </w:r>
      <w:r w:rsidRPr="00E476AE">
        <w:rPr>
          <w:rFonts w:cstheme="minorHAnsi"/>
          <w:b w:val="0"/>
          <w:bCs w:val="0"/>
          <w:color w:val="000000" w:themeColor="text1"/>
        </w:rPr>
        <w:tab/>
      </w:r>
      <w:r w:rsidR="00141521">
        <w:rPr>
          <w:rFonts w:cstheme="minorHAnsi"/>
          <w:b w:val="0"/>
          <w:bCs w:val="0"/>
          <w:color w:val="000000" w:themeColor="text1"/>
        </w:rPr>
        <w:t>8</w:t>
      </w:r>
    </w:p>
    <w:p w:rsidRPr="00E476AE" w:rsidR="00C1319D" w:rsidP="00C1319D" w:rsidRDefault="00C1319D" w14:paraId="1B150B8A" w14:textId="539176EC">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eastAsiaTheme="minorEastAsia" w:cstheme="minorHAnsi"/>
          <w:b w:val="0"/>
          <w:bCs w:val="0"/>
          <w:color w:val="000000" w:themeColor="text1"/>
        </w:rPr>
        <w:t>2.7.1</w:t>
      </w:r>
      <w:r w:rsidRPr="00E476AE">
        <w:rPr>
          <w:rFonts w:cstheme="minorHAnsi"/>
          <w:b w:val="0"/>
          <w:bCs w:val="0"/>
          <w:color w:val="000000" w:themeColor="text1"/>
        </w:rPr>
        <w:tab/>
      </w:r>
      <w:r w:rsidRPr="00E476AE">
        <w:rPr>
          <w:rFonts w:cstheme="minorHAnsi"/>
          <w:b w:val="0"/>
          <w:bCs w:val="0"/>
          <w:color w:val="000000" w:themeColor="text1"/>
        </w:rPr>
        <w:t>Description and characteristics of studies</w:t>
      </w:r>
      <w:r w:rsidRPr="00E476AE">
        <w:rPr>
          <w:rFonts w:cstheme="minorHAnsi"/>
          <w:b w:val="0"/>
          <w:bCs w:val="0"/>
          <w:color w:val="000000" w:themeColor="text1"/>
        </w:rPr>
        <w:tab/>
      </w:r>
      <w:r w:rsidR="00141521">
        <w:rPr>
          <w:rFonts w:cstheme="minorHAnsi"/>
          <w:b w:val="0"/>
          <w:bCs w:val="0"/>
          <w:color w:val="000000" w:themeColor="text1"/>
        </w:rPr>
        <w:t>8</w:t>
      </w:r>
    </w:p>
    <w:p w:rsidRPr="00E476AE" w:rsidR="00C1319D" w:rsidP="00C1319D" w:rsidRDefault="00D84B3B" w14:paraId="11687165" w14:textId="1DB88778">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cstheme="minorHAnsi"/>
          <w:b w:val="0"/>
          <w:bCs w:val="0"/>
          <w:color w:val="000000" w:themeColor="text1"/>
        </w:rPr>
        <w:t>2</w:t>
      </w:r>
      <w:r w:rsidRPr="00E476AE" w:rsidR="00C1319D">
        <w:rPr>
          <w:rFonts w:cstheme="minorHAnsi"/>
          <w:b w:val="0"/>
          <w:bCs w:val="0"/>
          <w:color w:val="000000" w:themeColor="text1"/>
        </w:rPr>
        <w:t>.</w:t>
      </w:r>
      <w:r w:rsidRPr="00E476AE">
        <w:rPr>
          <w:rFonts w:cstheme="minorHAnsi"/>
          <w:b w:val="0"/>
          <w:bCs w:val="0"/>
          <w:color w:val="000000" w:themeColor="text1"/>
        </w:rPr>
        <w:t>7</w:t>
      </w:r>
      <w:r w:rsidRPr="00E476AE" w:rsidR="00C1319D">
        <w:rPr>
          <w:rFonts w:cstheme="minorHAnsi"/>
          <w:b w:val="0"/>
          <w:bCs w:val="0"/>
          <w:color w:val="000000" w:themeColor="text1"/>
        </w:rPr>
        <w:t>.2</w:t>
      </w:r>
      <w:r w:rsidRPr="00E476AE" w:rsidR="00C1319D">
        <w:rPr>
          <w:rFonts w:cstheme="minorHAnsi"/>
          <w:b w:val="0"/>
          <w:bCs w:val="0"/>
          <w:color w:val="000000" w:themeColor="text1"/>
        </w:rPr>
        <w:tab/>
      </w:r>
      <w:r w:rsidRPr="00E476AE">
        <w:rPr>
          <w:rFonts w:cstheme="minorHAnsi"/>
          <w:b w:val="0"/>
          <w:bCs w:val="0"/>
          <w:color w:val="000000" w:themeColor="text1"/>
        </w:rPr>
        <w:t>Baseline characteristics of patients</w:t>
      </w:r>
      <w:r w:rsidRPr="00E476AE" w:rsidR="00C1319D">
        <w:rPr>
          <w:rFonts w:cstheme="minorHAnsi"/>
          <w:b w:val="0"/>
          <w:bCs w:val="0"/>
          <w:color w:val="000000" w:themeColor="text1"/>
        </w:rPr>
        <w:tab/>
      </w:r>
      <w:r w:rsidRPr="00E476AE">
        <w:rPr>
          <w:rFonts w:cstheme="minorHAnsi"/>
          <w:b w:val="0"/>
          <w:bCs w:val="0"/>
          <w:color w:val="000000" w:themeColor="text1"/>
        </w:rPr>
        <w:t>8</w:t>
      </w:r>
    </w:p>
    <w:p w:rsidRPr="00E476AE" w:rsidR="0001790B" w:rsidP="0001790B" w:rsidRDefault="0001790B" w14:paraId="7E1E50F3" w14:textId="294D6FC3">
      <w:pPr>
        <w:pStyle w:val="TOC2"/>
        <w:tabs>
          <w:tab w:val="left" w:pos="960"/>
          <w:tab w:val="right" w:leader="dot" w:pos="9010"/>
        </w:tabs>
        <w:ind w:left="426"/>
        <w:rPr>
          <w:rFonts w:cstheme="minorHAnsi"/>
          <w:b w:val="0"/>
          <w:bCs w:val="0"/>
          <w:color w:val="000000" w:themeColor="text1"/>
        </w:rPr>
      </w:pPr>
      <w:r w:rsidRPr="00E476AE">
        <w:rPr>
          <w:rFonts w:cstheme="minorHAnsi"/>
          <w:b w:val="0"/>
          <w:bCs w:val="0"/>
          <w:color w:val="000000" w:themeColor="text1"/>
        </w:rPr>
        <w:t>2</w:t>
      </w:r>
      <w:r w:rsidRPr="00E476AE" w:rsidR="00C1319D">
        <w:rPr>
          <w:rFonts w:cstheme="minorHAnsi"/>
          <w:b w:val="0"/>
          <w:bCs w:val="0"/>
          <w:color w:val="000000" w:themeColor="text1"/>
        </w:rPr>
        <w:t>.</w:t>
      </w:r>
      <w:r w:rsidRPr="00E476AE">
        <w:rPr>
          <w:rFonts w:cstheme="minorHAnsi"/>
          <w:b w:val="0"/>
          <w:bCs w:val="0"/>
          <w:color w:val="000000" w:themeColor="text1"/>
        </w:rPr>
        <w:t>7</w:t>
      </w:r>
      <w:r w:rsidRPr="00E476AE" w:rsidR="00C1319D">
        <w:rPr>
          <w:rFonts w:cstheme="minorHAnsi"/>
          <w:b w:val="0"/>
          <w:bCs w:val="0"/>
          <w:color w:val="000000" w:themeColor="text1"/>
        </w:rPr>
        <w:t>.3</w:t>
      </w:r>
      <w:r w:rsidRPr="00E476AE" w:rsidR="00C1319D">
        <w:rPr>
          <w:rFonts w:cstheme="minorHAnsi"/>
          <w:b w:val="0"/>
          <w:bCs w:val="0"/>
          <w:color w:val="000000" w:themeColor="text1"/>
        </w:rPr>
        <w:tab/>
      </w:r>
      <w:r w:rsidRPr="00E476AE">
        <w:rPr>
          <w:rFonts w:cstheme="minorHAnsi"/>
          <w:b w:val="0"/>
          <w:bCs w:val="0"/>
          <w:color w:val="000000" w:themeColor="text1"/>
        </w:rPr>
        <w:t>Descriptive and survival analyses</w:t>
      </w:r>
      <w:r w:rsidRPr="00E476AE" w:rsidR="00C1319D">
        <w:rPr>
          <w:rFonts w:cstheme="minorHAnsi"/>
          <w:b w:val="0"/>
          <w:bCs w:val="0"/>
          <w:color w:val="000000" w:themeColor="text1"/>
        </w:rPr>
        <w:tab/>
      </w:r>
      <w:r w:rsidRPr="00E476AE">
        <w:rPr>
          <w:rFonts w:cstheme="minorHAnsi"/>
          <w:b w:val="0"/>
          <w:bCs w:val="0"/>
          <w:color w:val="000000" w:themeColor="text1"/>
        </w:rPr>
        <w:t>8</w:t>
      </w:r>
    </w:p>
    <w:p w:rsidRPr="00E476AE" w:rsidR="008B6118" w:rsidP="008B6118" w:rsidRDefault="008B6118" w14:paraId="706AC6C4" w14:textId="1CFE6D04">
      <w:pPr>
        <w:pStyle w:val="TOC2"/>
        <w:tabs>
          <w:tab w:val="left" w:pos="960"/>
          <w:tab w:val="right" w:leader="dot" w:pos="9010"/>
        </w:tabs>
        <w:ind w:left="426"/>
        <w:rPr>
          <w:rFonts w:eastAsiaTheme="minorEastAsia" w:cstheme="minorHAnsi"/>
          <w:b w:val="0"/>
          <w:bCs w:val="0"/>
          <w:noProof/>
          <w:color w:val="000000" w:themeColor="text1"/>
          <w:lang w:val="en-AU" w:eastAsia="en-GB"/>
        </w:rPr>
      </w:pPr>
      <w:r w:rsidRPr="00E476AE">
        <w:rPr>
          <w:rFonts w:cstheme="minorHAnsi"/>
          <w:b w:val="0"/>
          <w:bCs w:val="0"/>
          <w:color w:val="000000" w:themeColor="text1"/>
        </w:rPr>
        <w:t>2.7.4</w:t>
      </w:r>
      <w:r w:rsidRPr="00E476AE">
        <w:rPr>
          <w:rFonts w:cstheme="minorHAnsi"/>
          <w:b w:val="0"/>
          <w:bCs w:val="0"/>
          <w:color w:val="000000" w:themeColor="text1"/>
        </w:rPr>
        <w:tab/>
      </w:r>
      <w:r w:rsidRPr="00E476AE">
        <w:rPr>
          <w:rFonts w:cstheme="minorHAnsi"/>
          <w:b w:val="0"/>
          <w:bCs w:val="0"/>
          <w:color w:val="000000" w:themeColor="text1"/>
        </w:rPr>
        <w:t>Exploratory analyses</w:t>
      </w:r>
      <w:r w:rsidRPr="00E476AE">
        <w:rPr>
          <w:rFonts w:cstheme="minorHAnsi"/>
          <w:b w:val="0"/>
          <w:bCs w:val="0"/>
          <w:color w:val="000000" w:themeColor="text1"/>
        </w:rPr>
        <w:tab/>
      </w:r>
      <w:r w:rsidRPr="00E476AE">
        <w:rPr>
          <w:rFonts w:cstheme="minorHAnsi"/>
          <w:b w:val="0"/>
          <w:bCs w:val="0"/>
          <w:color w:val="000000" w:themeColor="text1"/>
        </w:rPr>
        <w:t>9</w:t>
      </w:r>
    </w:p>
    <w:p w:rsidRPr="00E476AE" w:rsidR="008B6118" w:rsidP="008B6118" w:rsidRDefault="008B6118" w14:paraId="4BB81782" w14:textId="6F4AE893">
      <w:pPr>
        <w:pStyle w:val="TOC2"/>
        <w:tabs>
          <w:tab w:val="left" w:pos="960"/>
          <w:tab w:val="right" w:leader="dot" w:pos="9010"/>
        </w:tabs>
        <w:ind w:left="426"/>
        <w:rPr>
          <w:rFonts w:cstheme="minorHAnsi"/>
          <w:b w:val="0"/>
          <w:bCs w:val="0"/>
          <w:color w:val="000000" w:themeColor="text1"/>
        </w:rPr>
      </w:pPr>
      <w:r w:rsidRPr="00E476AE">
        <w:rPr>
          <w:rFonts w:cstheme="minorHAnsi"/>
          <w:b w:val="0"/>
          <w:bCs w:val="0"/>
          <w:color w:val="000000" w:themeColor="text1"/>
        </w:rPr>
        <w:t>2.7.5</w:t>
      </w:r>
      <w:r w:rsidRPr="00E476AE">
        <w:rPr>
          <w:rFonts w:cstheme="minorHAnsi"/>
          <w:b w:val="0"/>
          <w:bCs w:val="0"/>
          <w:color w:val="000000" w:themeColor="text1"/>
        </w:rPr>
        <w:tab/>
      </w:r>
      <w:r w:rsidRPr="00E476AE">
        <w:rPr>
          <w:rFonts w:cstheme="minorHAnsi"/>
          <w:b w:val="0"/>
          <w:bCs w:val="0"/>
          <w:color w:val="000000" w:themeColor="text1"/>
        </w:rPr>
        <w:t>Risk of bias relating to individual studies</w:t>
      </w:r>
      <w:r w:rsidRPr="00E476AE">
        <w:rPr>
          <w:rFonts w:cstheme="minorHAnsi"/>
          <w:b w:val="0"/>
          <w:bCs w:val="0"/>
          <w:color w:val="000000" w:themeColor="text1"/>
        </w:rPr>
        <w:tab/>
      </w:r>
      <w:r w:rsidR="007E2F71">
        <w:rPr>
          <w:rFonts w:cstheme="minorHAnsi"/>
          <w:b w:val="0"/>
          <w:bCs w:val="0"/>
          <w:color w:val="000000" w:themeColor="text1"/>
        </w:rPr>
        <w:t>10</w:t>
      </w:r>
    </w:p>
    <w:p w:rsidRPr="00E476AE" w:rsidR="00797528" w:rsidP="4AF9E47B" w:rsidRDefault="00797528" w14:paraId="6E36F929" w14:textId="68370AA1">
      <w:pPr>
        <w:pStyle w:val="TOC1"/>
        <w:tabs>
          <w:tab w:val="right" w:leader="dot" w:pos="9010"/>
        </w:tabs>
        <w:rPr>
          <w:rFonts w:eastAsiaTheme="minorEastAsia" w:cstheme="minorHAnsi"/>
          <w:noProof/>
          <w:sz w:val="22"/>
          <w:szCs w:val="22"/>
          <w:lang w:val="en-AU" w:eastAsia="en-GB"/>
        </w:rPr>
      </w:pPr>
      <w:r w:rsidRPr="00E476AE">
        <w:rPr>
          <w:rFonts w:cstheme="minorHAnsi"/>
          <w:color w:val="000000" w:themeColor="text1"/>
          <w:sz w:val="22"/>
          <w:szCs w:val="22"/>
        </w:rPr>
        <w:t>3. PRISMA Statement</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4E018F88" w14:textId="661990AD">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4. Tools</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2CEC42C7" w14:textId="38447316">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5. Study Group Governance, Management, Coordination and Publication Policy</w:t>
      </w:r>
      <w:r w:rsidRPr="00E476AE">
        <w:rPr>
          <w:rFonts w:cstheme="minorHAnsi"/>
          <w:sz w:val="22"/>
          <w:szCs w:val="22"/>
        </w:rPr>
        <w:tab/>
      </w:r>
      <w:r w:rsidRPr="00E476AE" w:rsidR="00E476AE">
        <w:rPr>
          <w:rFonts w:cstheme="minorHAnsi"/>
          <w:sz w:val="22"/>
          <w:szCs w:val="22"/>
        </w:rPr>
        <w:t>1</w:t>
      </w:r>
      <w:r w:rsidR="00C359EE">
        <w:rPr>
          <w:rFonts w:cstheme="minorHAnsi"/>
          <w:sz w:val="22"/>
          <w:szCs w:val="22"/>
        </w:rPr>
        <w:t>1</w:t>
      </w:r>
    </w:p>
    <w:p w:rsidRPr="00E476AE" w:rsidR="00797528" w:rsidP="4AF9E47B" w:rsidRDefault="00797528" w14:paraId="3CC7B562" w14:textId="6EC88276">
      <w:pPr>
        <w:pStyle w:val="TOC1"/>
        <w:tabs>
          <w:tab w:val="right" w:leader="dot" w:pos="9010"/>
        </w:tabs>
        <w:rPr>
          <w:rFonts w:eastAsiaTheme="minorEastAsia" w:cstheme="minorHAnsi"/>
          <w:noProof/>
          <w:sz w:val="22"/>
          <w:szCs w:val="22"/>
          <w:lang w:val="en-AU" w:eastAsia="en-GB"/>
        </w:rPr>
      </w:pPr>
      <w:r w:rsidRPr="00E476AE">
        <w:rPr>
          <w:rFonts w:cstheme="minorHAnsi"/>
          <w:sz w:val="22"/>
          <w:szCs w:val="22"/>
        </w:rPr>
        <w:t>6. References</w:t>
      </w:r>
      <w:r w:rsidRPr="00E476AE">
        <w:rPr>
          <w:rFonts w:cstheme="minorHAnsi"/>
          <w:sz w:val="22"/>
          <w:szCs w:val="22"/>
        </w:rPr>
        <w:tab/>
      </w:r>
      <w:r w:rsidRPr="00E476AE" w:rsidR="00E476AE">
        <w:rPr>
          <w:rFonts w:cstheme="minorHAnsi"/>
          <w:sz w:val="22"/>
          <w:szCs w:val="22"/>
        </w:rPr>
        <w:t>11</w:t>
      </w:r>
    </w:p>
    <w:p w:rsidRPr="003F41FF" w:rsidR="00457F3C" w:rsidP="4AF9E47B" w:rsidRDefault="00457F3C" w14:paraId="3F1BCAE2" w14:textId="54863276">
      <w:pPr>
        <w:rPr>
          <w:b/>
          <w:bCs/>
          <w:sz w:val="28"/>
          <w:szCs w:val="28"/>
        </w:rPr>
      </w:pPr>
      <w:r w:rsidRPr="00E476AE">
        <w:rPr>
          <w:rFonts w:cstheme="minorHAnsi"/>
          <w:lang w:val="en-AU"/>
        </w:rPr>
        <w:fldChar w:fldCharType="end"/>
      </w:r>
    </w:p>
    <w:p w:rsidRPr="003F41FF" w:rsidR="00457F3C" w:rsidP="4AF9E47B" w:rsidRDefault="00457F3C" w14:paraId="2843081C" w14:textId="77777777">
      <w:pPr>
        <w:rPr>
          <w:b/>
          <w:bCs/>
          <w:sz w:val="28"/>
          <w:szCs w:val="28"/>
        </w:rPr>
      </w:pPr>
    </w:p>
    <w:p w:rsidRPr="003F41FF" w:rsidR="00457F3C" w:rsidP="4AF9E47B" w:rsidRDefault="00457F3C" w14:paraId="2E9AE301" w14:textId="77777777">
      <w:pPr>
        <w:rPr>
          <w:rFonts w:asciiTheme="majorHAnsi" w:hAnsiTheme="majorHAnsi" w:eastAsiaTheme="majorEastAsia" w:cstheme="majorBidi"/>
          <w:color w:val="2E74B5" w:themeColor="accent1" w:themeShade="BF"/>
          <w:sz w:val="26"/>
          <w:szCs w:val="26"/>
        </w:rPr>
      </w:pPr>
      <w:r w:rsidRPr="4AF9E47B">
        <w:br w:type="page"/>
      </w:r>
    </w:p>
    <w:p w:rsidRPr="003F41FF" w:rsidR="00457F3C" w:rsidP="4AF9E47B" w:rsidRDefault="00457F3C" w14:paraId="0703661F" w14:textId="77777777">
      <w:pPr>
        <w:pStyle w:val="Heading1"/>
        <w:rPr>
          <w:lang w:val="en-GB"/>
        </w:rPr>
      </w:pPr>
      <w:bookmarkStart w:name="_Toc457660138" w:id="4"/>
      <w:bookmarkStart w:name="_Toc84017821" w:id="5"/>
      <w:r w:rsidRPr="4AF9E47B">
        <w:rPr>
          <w:lang w:val="en-GB"/>
        </w:rPr>
        <w:t>1. Introduction and Rationale</w:t>
      </w:r>
      <w:bookmarkEnd w:id="4"/>
      <w:bookmarkEnd w:id="5"/>
    </w:p>
    <w:p w:rsidRPr="003F41FF" w:rsidR="00457F3C" w:rsidP="4AF9E47B" w:rsidRDefault="00457F3C" w14:paraId="2871750D" w14:textId="77777777">
      <w:pPr>
        <w:spacing w:after="0"/>
        <w:rPr>
          <w:i/>
          <w:iCs/>
          <w:color w:val="000000"/>
        </w:rPr>
      </w:pPr>
    </w:p>
    <w:p w:rsidRPr="00217D40" w:rsidR="00217D40" w:rsidP="00217D40" w:rsidRDefault="00217D40" w14:paraId="68648612" w14:textId="3E21239A">
      <w:pPr>
        <w:pStyle w:val="Heading2"/>
        <w:rPr>
          <w:rFonts w:asciiTheme="majorHAnsi" w:hAnsiTheme="majorHAnsi"/>
          <w:color w:val="0070C0"/>
          <w:sz w:val="26"/>
          <w:szCs w:val="26"/>
          <w:lang w:val="en-GB"/>
        </w:rPr>
      </w:pPr>
      <w:r w:rsidRPr="4AF9E47B">
        <w:rPr>
          <w:rFonts w:asciiTheme="majorHAnsi" w:hAnsiTheme="majorHAnsi"/>
          <w:color w:val="0070C0"/>
          <w:sz w:val="26"/>
          <w:szCs w:val="26"/>
          <w:lang w:val="en-GB"/>
        </w:rPr>
        <w:t>1.</w:t>
      </w:r>
      <w:r>
        <w:rPr>
          <w:rFonts w:asciiTheme="majorHAnsi" w:hAnsiTheme="majorHAnsi"/>
          <w:color w:val="0070C0"/>
          <w:sz w:val="26"/>
          <w:szCs w:val="26"/>
          <w:lang w:val="en-GB"/>
        </w:rPr>
        <w:t>1</w:t>
      </w:r>
      <w:r w:rsidRPr="4AF9E47B">
        <w:rPr>
          <w:rFonts w:asciiTheme="majorHAnsi" w:hAnsiTheme="majorHAnsi"/>
          <w:color w:val="0070C0"/>
          <w:sz w:val="26"/>
          <w:szCs w:val="26"/>
          <w:lang w:val="en-GB"/>
        </w:rPr>
        <w:t xml:space="preserve">. </w:t>
      </w:r>
      <w:r w:rsidR="00EA19B8">
        <w:rPr>
          <w:rFonts w:asciiTheme="majorHAnsi" w:hAnsiTheme="majorHAnsi"/>
          <w:color w:val="0070C0"/>
          <w:sz w:val="26"/>
          <w:szCs w:val="26"/>
          <w:lang w:val="en-GB"/>
        </w:rPr>
        <w:t>Background</w:t>
      </w:r>
    </w:p>
    <w:p w:rsidR="00457F3C" w:rsidP="4AF9E47B" w:rsidRDefault="007042CE" w14:paraId="6E43C162" w14:textId="39B78637">
      <w:pPr>
        <w:pStyle w:val="p1"/>
        <w:jc w:val="both"/>
        <w:rPr>
          <w:rFonts w:asciiTheme="minorHAnsi" w:hAnsiTheme="minorHAnsi" w:cstheme="minorBidi"/>
          <w:sz w:val="22"/>
          <w:szCs w:val="22"/>
        </w:rPr>
      </w:pPr>
      <w:r w:rsidRPr="4AF9E47B">
        <w:rPr>
          <w:rFonts w:asciiTheme="minorHAnsi" w:hAnsiTheme="minorHAnsi" w:cstheme="minorBidi"/>
          <w:i/>
          <w:iCs/>
          <w:color w:val="000000" w:themeColor="text1"/>
          <w:sz w:val="22"/>
          <w:szCs w:val="22"/>
        </w:rPr>
        <w:t>Plasmodium vivax</w:t>
      </w:r>
      <w:r w:rsidRPr="4AF9E47B">
        <w:rPr>
          <w:rFonts w:asciiTheme="minorHAnsi" w:hAnsiTheme="minorHAnsi" w:cstheme="minorBidi"/>
          <w:color w:val="000000" w:themeColor="text1"/>
          <w:sz w:val="22"/>
          <w:szCs w:val="22"/>
        </w:rPr>
        <w:t xml:space="preserve"> </w:t>
      </w:r>
      <w:r w:rsidRPr="4AF9E47B" w:rsidR="000F3D8E">
        <w:rPr>
          <w:rFonts w:asciiTheme="minorHAnsi" w:hAnsiTheme="minorHAnsi" w:cstheme="minorBidi"/>
          <w:color w:val="000000" w:themeColor="text1"/>
          <w:sz w:val="22"/>
          <w:szCs w:val="22"/>
        </w:rPr>
        <w:t>is the most geographically widespread cause of human malaria</w:t>
      </w:r>
      <w:r w:rsidRPr="4AF9E47B" w:rsidR="003B6B91">
        <w:rPr>
          <w:rFonts w:asciiTheme="minorHAnsi" w:hAnsiTheme="minorHAnsi" w:cstheme="minorBidi"/>
          <w:color w:val="000000" w:themeColor="text1"/>
          <w:sz w:val="22"/>
          <w:szCs w:val="22"/>
        </w:rPr>
        <w:t xml:space="preserve">. </w:t>
      </w:r>
      <w:r w:rsidRPr="4AF9E47B" w:rsidR="000F3D8E">
        <w:rPr>
          <w:rFonts w:asciiTheme="minorHAnsi" w:hAnsiTheme="minorHAnsi" w:cstheme="minorBidi"/>
          <w:color w:val="000000" w:themeColor="text1"/>
          <w:sz w:val="22"/>
          <w:szCs w:val="22"/>
        </w:rPr>
        <w:t>Its</w:t>
      </w:r>
      <w:r w:rsidRPr="4AF9E47B" w:rsidR="007008E6">
        <w:rPr>
          <w:rFonts w:asciiTheme="minorHAnsi" w:hAnsiTheme="minorHAnsi" w:cstheme="minorBidi"/>
          <w:color w:val="000000" w:themeColor="text1"/>
          <w:sz w:val="22"/>
          <w:szCs w:val="22"/>
        </w:rPr>
        <w:t xml:space="preserve"> characteristic</w:t>
      </w:r>
      <w:r w:rsidRPr="4AF9E47B" w:rsidR="000F3D8E">
        <w:rPr>
          <w:rFonts w:asciiTheme="minorHAnsi" w:hAnsiTheme="minorHAnsi" w:cstheme="minorBidi"/>
          <w:color w:val="000000" w:themeColor="text1"/>
          <w:sz w:val="22"/>
          <w:szCs w:val="22"/>
        </w:rPr>
        <w:t xml:space="preserve"> ability to form dormant liver-stage hypnozoites</w:t>
      </w:r>
      <w:r w:rsidRPr="4AF9E47B" w:rsidR="003B6B91">
        <w:rPr>
          <w:rFonts w:asciiTheme="minorHAnsi" w:hAnsiTheme="minorHAnsi" w:cstheme="minorBidi"/>
          <w:color w:val="000000" w:themeColor="text1"/>
          <w:sz w:val="22"/>
          <w:szCs w:val="22"/>
        </w:rPr>
        <w:t xml:space="preserve"> leads to</w:t>
      </w:r>
      <w:r w:rsidRPr="4AF9E47B" w:rsidR="006143E8">
        <w:rPr>
          <w:rFonts w:asciiTheme="minorHAnsi" w:hAnsiTheme="minorHAnsi" w:cstheme="minorBidi"/>
          <w:color w:val="000000" w:themeColor="text1"/>
          <w:sz w:val="22"/>
          <w:szCs w:val="22"/>
        </w:rPr>
        <w:t xml:space="preserve"> cumulative</w:t>
      </w:r>
      <w:r w:rsidRPr="4AF9E47B" w:rsidR="007008E6">
        <w:rPr>
          <w:rFonts w:asciiTheme="minorHAnsi" w:hAnsiTheme="minorHAnsi" w:cstheme="minorBidi"/>
          <w:color w:val="000000" w:themeColor="text1"/>
          <w:sz w:val="22"/>
          <w:szCs w:val="22"/>
        </w:rPr>
        <w:t xml:space="preserve"> morbidity </w:t>
      </w:r>
      <w:r w:rsidRPr="4AF9E47B" w:rsidR="00247964">
        <w:rPr>
          <w:rFonts w:asciiTheme="minorHAnsi" w:hAnsiTheme="minorHAnsi" w:cstheme="minorBidi"/>
          <w:color w:val="000000" w:themeColor="text1"/>
          <w:sz w:val="22"/>
          <w:szCs w:val="22"/>
        </w:rPr>
        <w:t xml:space="preserve">and mortality </w:t>
      </w:r>
      <w:r w:rsidRPr="4AF9E47B" w:rsidR="007008E6">
        <w:rPr>
          <w:rFonts w:asciiTheme="minorHAnsi" w:hAnsiTheme="minorHAnsi" w:cstheme="minorBidi"/>
          <w:color w:val="000000" w:themeColor="text1"/>
          <w:sz w:val="22"/>
          <w:szCs w:val="22"/>
        </w:rPr>
        <w:t>over time</w:t>
      </w:r>
      <w:r w:rsidRPr="4AF9E47B" w:rsidR="6DA65979">
        <w:rPr>
          <w:rFonts w:asciiTheme="minorHAnsi" w:hAnsiTheme="minorHAnsi" w:cstheme="minorBidi"/>
          <w:color w:val="000000" w:themeColor="text1"/>
          <w:sz w:val="22"/>
          <w:szCs w:val="22"/>
        </w:rPr>
        <w:t xml:space="preserve">, as well as </w:t>
      </w:r>
      <w:r w:rsidR="000B08B1">
        <w:rPr>
          <w:rFonts w:asciiTheme="minorHAnsi" w:hAnsiTheme="minorHAnsi" w:cstheme="minorBidi"/>
          <w:color w:val="000000" w:themeColor="text1"/>
          <w:sz w:val="22"/>
          <w:szCs w:val="22"/>
        </w:rPr>
        <w:t xml:space="preserve">confounding malaria </w:t>
      </w:r>
      <w:r w:rsidRPr="4AF9E47B" w:rsidR="6DA65979">
        <w:rPr>
          <w:rFonts w:asciiTheme="minorHAnsi" w:hAnsiTheme="minorHAnsi" w:cstheme="minorBidi"/>
          <w:color w:val="000000" w:themeColor="text1"/>
          <w:sz w:val="22"/>
          <w:szCs w:val="22"/>
        </w:rPr>
        <w:t xml:space="preserve">control </w:t>
      </w:r>
      <w:r w:rsidR="000B08B1">
        <w:rPr>
          <w:rFonts w:asciiTheme="minorHAnsi" w:hAnsiTheme="minorHAnsi" w:cstheme="minorBidi"/>
          <w:color w:val="000000" w:themeColor="text1"/>
          <w:sz w:val="22"/>
          <w:szCs w:val="22"/>
        </w:rPr>
        <w:t>activities</w:t>
      </w:r>
      <w:r w:rsidR="009D44B0">
        <w:rPr>
          <w:rFonts w:asciiTheme="minorHAnsi" w:hAnsiTheme="minorHAnsi" w:cstheme="minorBidi"/>
          <w:color w:val="000000" w:themeColor="text1"/>
          <w:sz w:val="22"/>
          <w:szCs w:val="22"/>
        </w:rPr>
        <w:t>,</w:t>
      </w:r>
      <w:r w:rsidRPr="4AF9E47B" w:rsidR="00F01C43">
        <w:rPr>
          <w:rFonts w:asciiTheme="minorHAnsi" w:hAnsiTheme="minorHAnsi" w:cstheme="minorBidi"/>
          <w:color w:val="000000" w:themeColor="text1"/>
          <w:sz w:val="22"/>
          <w:szCs w:val="22"/>
        </w:rPr>
        <w:t xml:space="preserve"> </w:t>
      </w:r>
      <w:r w:rsidR="009D44B0">
        <w:rPr>
          <w:rFonts w:asciiTheme="minorHAnsi" w:hAnsiTheme="minorHAnsi" w:cstheme="minorBidi"/>
          <w:color w:val="000000" w:themeColor="text1"/>
          <w:sz w:val="22"/>
          <w:szCs w:val="22"/>
        </w:rPr>
        <w:t xml:space="preserve">since </w:t>
      </w:r>
      <w:r w:rsidRPr="4AF9E47B" w:rsidR="009E5351">
        <w:rPr>
          <w:rFonts w:asciiTheme="minorHAnsi" w:hAnsiTheme="minorHAnsi" w:cstheme="minorBidi"/>
          <w:color w:val="000000" w:themeColor="text1"/>
          <w:sz w:val="22"/>
          <w:szCs w:val="22"/>
        </w:rPr>
        <w:t xml:space="preserve">acute </w:t>
      </w:r>
      <w:r w:rsidRPr="4AF9E47B" w:rsidR="002F28A3">
        <w:rPr>
          <w:rFonts w:asciiTheme="minorHAnsi" w:hAnsiTheme="minorHAnsi" w:cstheme="minorBidi"/>
          <w:color w:val="000000" w:themeColor="text1"/>
          <w:sz w:val="22"/>
          <w:szCs w:val="22"/>
        </w:rPr>
        <w:t>episodes</w:t>
      </w:r>
      <w:r w:rsidRPr="4AF9E47B" w:rsidR="007008E6">
        <w:rPr>
          <w:rFonts w:asciiTheme="minorHAnsi" w:hAnsiTheme="minorHAnsi" w:cstheme="minorBidi"/>
          <w:color w:val="000000" w:themeColor="text1"/>
          <w:sz w:val="22"/>
          <w:szCs w:val="22"/>
        </w:rPr>
        <w:t xml:space="preserve"> </w:t>
      </w:r>
      <w:r w:rsidRPr="4AF9E47B" w:rsidR="009E5351">
        <w:rPr>
          <w:rFonts w:asciiTheme="minorHAnsi" w:hAnsiTheme="minorHAnsi" w:cstheme="minorBidi"/>
          <w:color w:val="000000" w:themeColor="text1"/>
          <w:sz w:val="22"/>
          <w:szCs w:val="22"/>
        </w:rPr>
        <w:t xml:space="preserve">may recur </w:t>
      </w:r>
      <w:r w:rsidRPr="4AF9E47B" w:rsidR="009D44B0">
        <w:rPr>
          <w:rFonts w:asciiTheme="minorHAnsi" w:hAnsiTheme="minorHAnsi" w:cstheme="minorBidi"/>
          <w:color w:val="000000" w:themeColor="text1"/>
          <w:sz w:val="22"/>
          <w:szCs w:val="22"/>
        </w:rPr>
        <w:t xml:space="preserve">(relapse) </w:t>
      </w:r>
      <w:r w:rsidRPr="4AF9E47B" w:rsidR="00D927A8">
        <w:rPr>
          <w:rFonts w:asciiTheme="minorHAnsi" w:hAnsiTheme="minorHAnsi" w:cstheme="minorBidi"/>
          <w:color w:val="000000" w:themeColor="text1"/>
          <w:sz w:val="22"/>
          <w:szCs w:val="22"/>
        </w:rPr>
        <w:t>weeks</w:t>
      </w:r>
      <w:r w:rsidRPr="4AF9E47B" w:rsidR="00746A96">
        <w:rPr>
          <w:rFonts w:asciiTheme="minorHAnsi" w:hAnsiTheme="minorHAnsi" w:cstheme="minorBidi"/>
          <w:color w:val="000000" w:themeColor="text1"/>
          <w:sz w:val="22"/>
          <w:szCs w:val="22"/>
        </w:rPr>
        <w:t xml:space="preserve"> </w:t>
      </w:r>
      <w:r w:rsidR="009D44B0">
        <w:rPr>
          <w:rFonts w:asciiTheme="minorHAnsi" w:hAnsiTheme="minorHAnsi" w:cstheme="minorBidi"/>
          <w:color w:val="000000" w:themeColor="text1"/>
          <w:sz w:val="22"/>
          <w:szCs w:val="22"/>
        </w:rPr>
        <w:t xml:space="preserve">to </w:t>
      </w:r>
      <w:r w:rsidRPr="4AF9E47B" w:rsidR="00D927A8">
        <w:rPr>
          <w:rFonts w:asciiTheme="minorHAnsi" w:hAnsiTheme="minorHAnsi" w:cstheme="minorBidi"/>
          <w:color w:val="000000" w:themeColor="text1"/>
          <w:sz w:val="22"/>
          <w:szCs w:val="22"/>
        </w:rPr>
        <w:t>months</w:t>
      </w:r>
      <w:r w:rsidRPr="4AF9E47B" w:rsidR="009E5351">
        <w:rPr>
          <w:rFonts w:asciiTheme="minorHAnsi" w:hAnsiTheme="minorHAnsi" w:cstheme="minorBidi"/>
          <w:color w:val="000000" w:themeColor="text1"/>
          <w:sz w:val="22"/>
          <w:szCs w:val="22"/>
        </w:rPr>
        <w:t xml:space="preserve"> after </w:t>
      </w:r>
      <w:r w:rsidR="009D44B0">
        <w:rPr>
          <w:rFonts w:asciiTheme="minorHAnsi" w:hAnsiTheme="minorHAnsi" w:cstheme="minorBidi"/>
          <w:color w:val="000000" w:themeColor="text1"/>
          <w:sz w:val="22"/>
          <w:szCs w:val="22"/>
        </w:rPr>
        <w:t xml:space="preserve">an </w:t>
      </w:r>
      <w:r w:rsidRPr="4AF9E47B" w:rsidR="009E5351">
        <w:rPr>
          <w:rFonts w:asciiTheme="minorHAnsi" w:hAnsiTheme="minorHAnsi" w:cstheme="minorBidi"/>
          <w:color w:val="000000" w:themeColor="text1"/>
          <w:sz w:val="22"/>
          <w:szCs w:val="22"/>
        </w:rPr>
        <w:t>initial infection</w:t>
      </w:r>
      <w:r w:rsidRPr="4AF9E47B" w:rsidR="007008E6">
        <w:rPr>
          <w:rFonts w:asciiTheme="minorHAnsi" w:hAnsiTheme="minorHAnsi" w:cstheme="minorBidi"/>
          <w:color w:val="000000" w:themeColor="text1"/>
          <w:sz w:val="22"/>
          <w:szCs w:val="22"/>
        </w:rPr>
        <w:t xml:space="preserve">. </w:t>
      </w:r>
      <w:r w:rsidRPr="4AF9E47B" w:rsidR="00796D82">
        <w:rPr>
          <w:rFonts w:asciiTheme="minorHAnsi" w:hAnsiTheme="minorHAnsi" w:cstheme="minorBidi"/>
          <w:color w:val="000000" w:themeColor="text1"/>
          <w:sz w:val="22"/>
          <w:szCs w:val="22"/>
        </w:rPr>
        <w:t>Currently, t</w:t>
      </w:r>
      <w:r w:rsidRPr="4AF9E47B" w:rsidR="007008E6">
        <w:rPr>
          <w:rFonts w:asciiTheme="minorHAnsi" w:hAnsiTheme="minorHAnsi" w:cstheme="minorBidi"/>
          <w:color w:val="000000" w:themeColor="text1"/>
          <w:sz w:val="22"/>
          <w:szCs w:val="22"/>
        </w:rPr>
        <w:t>he only widely available drug to prevent</w:t>
      </w:r>
      <w:r w:rsidRPr="4AF9E47B" w:rsidR="00D942FC">
        <w:rPr>
          <w:rFonts w:asciiTheme="minorHAnsi" w:hAnsiTheme="minorHAnsi" w:cstheme="minorBidi"/>
          <w:color w:val="000000" w:themeColor="text1"/>
          <w:sz w:val="22"/>
          <w:szCs w:val="22"/>
        </w:rPr>
        <w:t xml:space="preserve"> relapse</w:t>
      </w:r>
      <w:r w:rsidRPr="4AF9E47B" w:rsidR="00B925A0">
        <w:rPr>
          <w:rFonts w:asciiTheme="minorHAnsi" w:hAnsiTheme="minorHAnsi" w:cstheme="minorBidi"/>
          <w:color w:val="000000" w:themeColor="text1"/>
          <w:sz w:val="22"/>
          <w:szCs w:val="22"/>
        </w:rPr>
        <w:t>s</w:t>
      </w:r>
      <w:r w:rsidRPr="4AF9E47B" w:rsidR="00D942FC">
        <w:rPr>
          <w:rFonts w:asciiTheme="minorHAnsi" w:hAnsiTheme="minorHAnsi" w:cstheme="minorBidi"/>
          <w:color w:val="000000" w:themeColor="text1"/>
          <w:sz w:val="22"/>
          <w:szCs w:val="22"/>
        </w:rPr>
        <w:t xml:space="preserve"> is </w:t>
      </w:r>
      <w:r w:rsidRPr="4AF9E47B" w:rsidR="00B925A0">
        <w:rPr>
          <w:rFonts w:asciiTheme="minorHAnsi" w:hAnsiTheme="minorHAnsi" w:cstheme="minorBidi"/>
          <w:color w:val="000000" w:themeColor="text1"/>
          <w:sz w:val="22"/>
          <w:szCs w:val="22"/>
        </w:rPr>
        <w:t xml:space="preserve">the </w:t>
      </w:r>
      <w:r w:rsidRPr="4AF9E47B" w:rsidR="00D942FC">
        <w:rPr>
          <w:rFonts w:asciiTheme="minorHAnsi" w:hAnsiTheme="minorHAnsi" w:cstheme="minorBidi"/>
          <w:color w:val="000000" w:themeColor="text1"/>
          <w:sz w:val="22"/>
          <w:szCs w:val="22"/>
        </w:rPr>
        <w:t>8-aminoquinoline</w:t>
      </w:r>
      <w:r w:rsidR="00FA7544">
        <w:rPr>
          <w:rFonts w:asciiTheme="minorHAnsi" w:hAnsiTheme="minorHAnsi" w:cstheme="minorBidi"/>
          <w:color w:val="000000" w:themeColor="text1"/>
          <w:sz w:val="22"/>
          <w:szCs w:val="22"/>
        </w:rPr>
        <w:t xml:space="preserve"> </w:t>
      </w:r>
      <w:r w:rsidRPr="4AF9E47B" w:rsidR="00D942FC">
        <w:rPr>
          <w:rFonts w:asciiTheme="minorHAnsi" w:hAnsiTheme="minorHAnsi" w:cstheme="minorBidi"/>
          <w:color w:val="000000" w:themeColor="text1"/>
          <w:sz w:val="22"/>
          <w:szCs w:val="22"/>
        </w:rPr>
        <w:t xml:space="preserve">primaquine. </w:t>
      </w:r>
      <w:r w:rsidRPr="4AF9E47B" w:rsidR="00497D76">
        <w:rPr>
          <w:rFonts w:asciiTheme="minorHAnsi" w:hAnsiTheme="minorHAnsi" w:cstheme="minorBidi"/>
          <w:color w:val="000000" w:themeColor="text1"/>
          <w:sz w:val="22"/>
          <w:szCs w:val="22"/>
        </w:rPr>
        <w:t>P</w:t>
      </w:r>
      <w:r w:rsidRPr="4AF9E47B" w:rsidR="006005D5">
        <w:rPr>
          <w:rFonts w:asciiTheme="minorHAnsi" w:hAnsiTheme="minorHAnsi" w:cstheme="minorBidi"/>
          <w:sz w:val="22"/>
          <w:szCs w:val="22"/>
        </w:rPr>
        <w:t>rimaquine is</w:t>
      </w:r>
      <w:r w:rsidRPr="4AF9E47B" w:rsidR="006005D5">
        <w:rPr>
          <w:rFonts w:asciiTheme="minorHAnsi" w:hAnsiTheme="minorHAnsi" w:cstheme="minorBidi"/>
          <w:i/>
          <w:iCs/>
          <w:sz w:val="22"/>
          <w:szCs w:val="22"/>
        </w:rPr>
        <w:t xml:space="preserve"> </w:t>
      </w:r>
      <w:r w:rsidRPr="4AF9E47B" w:rsidR="006005D5">
        <w:rPr>
          <w:rFonts w:asciiTheme="minorHAnsi" w:hAnsiTheme="minorHAnsi" w:cstheme="minorBidi"/>
          <w:sz w:val="22"/>
          <w:szCs w:val="22"/>
        </w:rPr>
        <w:t xml:space="preserve">a prodrug whose active metabolites </w:t>
      </w:r>
      <w:r w:rsidRPr="4AF9E47B" w:rsidR="00497D76">
        <w:rPr>
          <w:rFonts w:asciiTheme="minorHAnsi" w:hAnsiTheme="minorHAnsi" w:cstheme="minorBidi"/>
          <w:sz w:val="22"/>
          <w:szCs w:val="22"/>
        </w:rPr>
        <w:t xml:space="preserve">remain largely </w:t>
      </w:r>
      <w:r w:rsidRPr="4AF9E47B" w:rsidR="006005D5">
        <w:rPr>
          <w:rFonts w:asciiTheme="minorHAnsi" w:hAnsiTheme="minorHAnsi" w:cstheme="minorBidi"/>
          <w:sz w:val="22"/>
          <w:szCs w:val="22"/>
        </w:rPr>
        <w:t>unknown</w:t>
      </w:r>
      <w:r w:rsidRPr="4AF9E47B" w:rsidR="00497D76">
        <w:rPr>
          <w:rFonts w:asciiTheme="minorHAnsi" w:hAnsiTheme="minorHAnsi" w:cstheme="minorBidi"/>
          <w:sz w:val="22"/>
          <w:szCs w:val="22"/>
        </w:rPr>
        <w:t xml:space="preserve"> and uncharacterised</w:t>
      </w:r>
      <w:r w:rsidRPr="4AF9E47B" w:rsidR="006005D5">
        <w:rPr>
          <w:rFonts w:asciiTheme="minorHAnsi" w:hAnsiTheme="minorHAnsi" w:cstheme="minorBidi"/>
          <w:sz w:val="22"/>
          <w:szCs w:val="22"/>
        </w:rPr>
        <w:t xml:space="preserve">. Preliminary data suggest that methaemoglobin production may be </w:t>
      </w:r>
      <w:r w:rsidR="00F01264">
        <w:rPr>
          <w:rFonts w:asciiTheme="minorHAnsi" w:hAnsiTheme="minorHAnsi" w:cstheme="minorBidi"/>
          <w:sz w:val="22"/>
          <w:szCs w:val="22"/>
        </w:rPr>
        <w:t>a correlate of the production and</w:t>
      </w:r>
      <w:r w:rsidRPr="4AF9E47B" w:rsidR="006005D5">
        <w:rPr>
          <w:rFonts w:asciiTheme="minorHAnsi" w:hAnsiTheme="minorHAnsi" w:cstheme="minorBidi"/>
          <w:sz w:val="22"/>
          <w:szCs w:val="22"/>
        </w:rPr>
        <w:t xml:space="preserve"> exposure to the active metabolites</w:t>
      </w:r>
      <w:r w:rsidR="00F01264">
        <w:rPr>
          <w:rFonts w:asciiTheme="minorHAnsi" w:hAnsiTheme="minorHAnsi" w:cstheme="minorBidi"/>
          <w:sz w:val="22"/>
          <w:szCs w:val="22"/>
        </w:rPr>
        <w:t xml:space="preserve"> driving drug efficacy</w:t>
      </w:r>
      <w:r w:rsidR="00F72EB1">
        <w:rPr>
          <w:rFonts w:asciiTheme="minorHAnsi" w:hAnsiTheme="minorHAnsi" w:cstheme="minorBidi"/>
          <w:sz w:val="22"/>
          <w:szCs w:val="22"/>
        </w:rPr>
        <w:t xml:space="preserve"> </w:t>
      </w:r>
      <w:r w:rsidR="003E7D86">
        <w:rPr>
          <w:rFonts w:asciiTheme="minorHAnsi" w:hAnsiTheme="minorHAnsi" w:cstheme="minorBidi"/>
          <w:sz w:val="22"/>
          <w:szCs w:val="22"/>
        </w:rPr>
        <w:fldChar w:fldCharType="begin"/>
      </w:r>
      <w:r w:rsidR="00F72EB1">
        <w:rPr>
          <w:rFonts w:asciiTheme="minorHAnsi" w:hAnsiTheme="minorHAnsi" w:cstheme="minorBidi"/>
          <w:sz w:val="22"/>
          <w:szCs w:val="22"/>
        </w:rPr>
        <w:instrText xml:space="preserve"> ADDIN ZOTERO_ITEM CSL_CITATION {"citationID":"133fDA1L","properties":{"formattedCitation":"(1)","plainCitation":"(1)","noteIndex":0},"citationItems":[{"id":1084,"uris":["http://zotero.org/users/5812412/items/HPZ7NWMR"],"itemData":{"id":1084,"type":"article-journal","abstract":"Primaquine is the only widely available drug for radical cure of Plasmodium vivax malaria. There is uncertainty whether the pharmacokinetic properties of primaquine are altered significantly in childhood or not. Patients with uncomplicated P. vivax malaria and with normal glucose‐6‐phosphate dehydrogenase were randomized to receive either chloroquine (25 mg base/kg of body weight) or dihydroartemisinin‐piperaquine (dihydroartemisinin at 7 mg/kg and piperaquine at 55 mg/kg) plus primaquine, given either as 0.5 mg base/kg/day for 14 days or 1 mg/kg/day for 7 days. Predose day 7 venous plasma concentrations of chloroquine, desethylchloroquine, piperaquine, primaquine, and carboxyprimaquine were measured. Methemoglobin levels were measured at frequent intervals. Day 7 primaquine and carboxyprimaquine concentrations were available for 641 patients. After adjustment for the milligram‐per‐kilogram primaquine daily dose, day of sampling, partner drug, and fever clearance, there was a significant nonlinear relationship between age and trough primaquine and carboxyprimaquine concentrations and daily methemoglobin levels. Compared to adults 30 years of age, children 5 years of age had trough primaquine concentrations that were 0.53 (95% confidence interval [CI], 0.39 to 0.73)‐fold lower, trough carboxyprimaquine concentrations that were 0.45 (95% CI, 0.35 to 0.55)‐fold lower, and day 7 methemoglobin levels that were 0.87 (95% CI, 0.58 to 1.27)‐fold lower. Increasing plasma concentrations of piperaquine and chloroquine and poor metabolizer CYP 2D6 alleles were associated with higher day 7 primaquine and carboxyprimaquine plasma concentrations. Higher blood methemoglobin concentrations were associated with a lower risk of recurrence. Young children have lower primaquine and carboxyprimaquine exposures and lower levels of methemoglobinemia than adults. Young children may need higher weight‐adjusted primaquine doses than adults. (This study has been registered at ClinicalTrials.gov under identifier NCT01640574.).","archive_location":"CN-02323911","container-title":"Antimicrobial agents and chemotherapy","DOI":"10.1128/AAC.01302-21","issue":"11","page":"e0130221","title":"Determinants of Primaquine and Carboxyprimaquine Exposures in Children and Adults with Plasmodium vivax Malaria","volume":"65","author":[{"family":"Chu","given":"C. S."},{"family":"Watson","given":"J. A."},{"family":"Phyo","given":"A. P."},{"family":"Win","given":"H. H."},{"family":"Yotyingaphiram","given":"W."},{"family":"Thinraow","given":"S."},{"family":"Soe","given":"N. L."},{"family":"Aung","given":"A. A."},{"family":"Wilaisrisak","given":"P."},{"family":"Kraft","given":"K."},{"literal":"et al."}],"issued":{"date-parts":[["2021"]]}}}],"schema":"https://github.com/citation-style-language/schema/raw/master/csl-citation.json"} </w:instrText>
      </w:r>
      <w:r w:rsidR="003E7D86">
        <w:rPr>
          <w:rFonts w:asciiTheme="minorHAnsi" w:hAnsiTheme="minorHAnsi" w:cstheme="minorBidi"/>
          <w:sz w:val="22"/>
          <w:szCs w:val="22"/>
        </w:rPr>
        <w:fldChar w:fldCharType="separate"/>
      </w:r>
      <w:r w:rsidR="00F72EB1">
        <w:rPr>
          <w:rFonts w:asciiTheme="minorHAnsi" w:hAnsiTheme="minorHAnsi" w:cstheme="minorBidi"/>
          <w:noProof/>
          <w:sz w:val="22"/>
          <w:szCs w:val="22"/>
        </w:rPr>
        <w:t>(1)</w:t>
      </w:r>
      <w:r w:rsidR="003E7D86">
        <w:rPr>
          <w:rFonts w:asciiTheme="minorHAnsi" w:hAnsiTheme="minorHAnsi" w:cstheme="minorBidi"/>
          <w:sz w:val="22"/>
          <w:szCs w:val="22"/>
        </w:rPr>
        <w:fldChar w:fldCharType="end"/>
      </w:r>
      <w:r w:rsidRPr="4AF9E47B" w:rsidR="006005D5">
        <w:rPr>
          <w:rFonts w:asciiTheme="minorHAnsi" w:hAnsiTheme="minorHAnsi" w:cstheme="minorBidi"/>
          <w:sz w:val="22"/>
          <w:szCs w:val="22"/>
        </w:rPr>
        <w:t xml:space="preserve">. This review will synthesise available longitudinal methaemoglobin data in </w:t>
      </w:r>
      <w:r w:rsidR="004910BB">
        <w:rPr>
          <w:rFonts w:asciiTheme="minorHAnsi" w:hAnsiTheme="minorHAnsi" w:cstheme="minorBidi"/>
          <w:sz w:val="22"/>
          <w:szCs w:val="22"/>
        </w:rPr>
        <w:t xml:space="preserve">patients with </w:t>
      </w:r>
      <w:r w:rsidR="00F01264">
        <w:rPr>
          <w:rFonts w:asciiTheme="minorHAnsi" w:hAnsiTheme="minorHAnsi" w:cstheme="minorBidi"/>
          <w:sz w:val="22"/>
          <w:szCs w:val="22"/>
        </w:rPr>
        <w:t xml:space="preserve">symptomatic </w:t>
      </w:r>
      <w:r w:rsidRPr="4AF9E47B" w:rsidR="006005D5">
        <w:rPr>
          <w:rFonts w:asciiTheme="minorHAnsi" w:hAnsiTheme="minorHAnsi" w:cstheme="minorBidi"/>
          <w:sz w:val="22"/>
          <w:szCs w:val="22"/>
        </w:rPr>
        <w:t xml:space="preserve">vivax </w:t>
      </w:r>
      <w:r w:rsidR="004910BB">
        <w:rPr>
          <w:rFonts w:asciiTheme="minorHAnsi" w:hAnsiTheme="minorHAnsi" w:cstheme="minorBidi"/>
          <w:sz w:val="22"/>
          <w:szCs w:val="22"/>
        </w:rPr>
        <w:t xml:space="preserve">malaria treated with primaquine </w:t>
      </w:r>
      <w:r w:rsidRPr="4AF9E47B" w:rsidR="006005D5">
        <w:rPr>
          <w:rFonts w:asciiTheme="minorHAnsi" w:hAnsiTheme="minorHAnsi" w:cstheme="minorBidi"/>
          <w:sz w:val="22"/>
          <w:szCs w:val="22"/>
        </w:rPr>
        <w:t xml:space="preserve">to </w:t>
      </w:r>
      <w:r w:rsidR="001E1949">
        <w:rPr>
          <w:rFonts w:asciiTheme="minorHAnsi" w:hAnsiTheme="minorHAnsi" w:cstheme="minorBidi"/>
          <w:sz w:val="22"/>
          <w:szCs w:val="22"/>
        </w:rPr>
        <w:t xml:space="preserve">investigate </w:t>
      </w:r>
      <w:r w:rsidRPr="4AF9E47B" w:rsidR="006005D5">
        <w:rPr>
          <w:rFonts w:asciiTheme="minorHAnsi" w:hAnsiTheme="minorHAnsi" w:cstheme="minorBidi"/>
          <w:sz w:val="22"/>
          <w:szCs w:val="22"/>
        </w:rPr>
        <w:t>the utility of</w:t>
      </w:r>
      <w:r w:rsidR="009168EA">
        <w:rPr>
          <w:rFonts w:asciiTheme="minorHAnsi" w:hAnsiTheme="minorHAnsi" w:cstheme="minorBidi"/>
          <w:sz w:val="22"/>
          <w:szCs w:val="22"/>
        </w:rPr>
        <w:t xml:space="preserve"> </w:t>
      </w:r>
      <w:r w:rsidR="001E1949">
        <w:rPr>
          <w:rFonts w:asciiTheme="minorHAnsi" w:hAnsiTheme="minorHAnsi" w:cstheme="minorBidi"/>
          <w:sz w:val="22"/>
          <w:szCs w:val="22"/>
        </w:rPr>
        <w:t xml:space="preserve">using </w:t>
      </w:r>
      <w:r w:rsidR="009168EA">
        <w:rPr>
          <w:rFonts w:asciiTheme="minorHAnsi" w:hAnsiTheme="minorHAnsi" w:cstheme="minorBidi"/>
          <w:sz w:val="22"/>
          <w:szCs w:val="22"/>
        </w:rPr>
        <w:t>day</w:t>
      </w:r>
      <w:r w:rsidR="00CA4E22">
        <w:rPr>
          <w:rFonts w:asciiTheme="minorHAnsi" w:hAnsiTheme="minorHAnsi" w:cstheme="minorBidi"/>
          <w:sz w:val="22"/>
          <w:szCs w:val="22"/>
        </w:rPr>
        <w:t>-</w:t>
      </w:r>
      <w:r w:rsidR="009168EA">
        <w:rPr>
          <w:rFonts w:asciiTheme="minorHAnsi" w:hAnsiTheme="minorHAnsi" w:cstheme="minorBidi"/>
          <w:sz w:val="22"/>
          <w:szCs w:val="22"/>
        </w:rPr>
        <w:t>7</w:t>
      </w:r>
      <w:r w:rsidRPr="4AF9E47B" w:rsidR="006005D5">
        <w:rPr>
          <w:rFonts w:asciiTheme="minorHAnsi" w:hAnsiTheme="minorHAnsi" w:cstheme="minorBidi"/>
          <w:sz w:val="22"/>
          <w:szCs w:val="22"/>
        </w:rPr>
        <w:t xml:space="preserve"> </w:t>
      </w:r>
      <w:r w:rsidRPr="4AF9E47B" w:rsidR="00CA4E22">
        <w:rPr>
          <w:rFonts w:asciiTheme="minorHAnsi" w:hAnsiTheme="minorHAnsi" w:cstheme="minorBidi"/>
          <w:sz w:val="22"/>
          <w:szCs w:val="22"/>
        </w:rPr>
        <w:t>methemoglobine</w:t>
      </w:r>
      <w:r w:rsidR="00CA4E22">
        <w:rPr>
          <w:rFonts w:asciiTheme="minorHAnsi" w:hAnsiTheme="minorHAnsi" w:cstheme="minorBidi"/>
          <w:sz w:val="22"/>
          <w:szCs w:val="22"/>
        </w:rPr>
        <w:t xml:space="preserve">mia </w:t>
      </w:r>
      <w:r w:rsidRPr="4AF9E47B" w:rsidR="006005D5">
        <w:rPr>
          <w:rFonts w:asciiTheme="minorHAnsi" w:hAnsiTheme="minorHAnsi" w:cstheme="minorBidi"/>
          <w:sz w:val="22"/>
          <w:szCs w:val="22"/>
        </w:rPr>
        <w:t xml:space="preserve">as a pharmacodynamic </w:t>
      </w:r>
      <w:r w:rsidRPr="4AF9E47B" w:rsidR="00497D76">
        <w:rPr>
          <w:rFonts w:asciiTheme="minorHAnsi" w:hAnsiTheme="minorHAnsi" w:cstheme="minorBidi"/>
          <w:sz w:val="22"/>
          <w:szCs w:val="22"/>
        </w:rPr>
        <w:t xml:space="preserve">proxy </w:t>
      </w:r>
      <w:r w:rsidRPr="4AF9E47B" w:rsidR="006005D5">
        <w:rPr>
          <w:rFonts w:asciiTheme="minorHAnsi" w:hAnsiTheme="minorHAnsi" w:cstheme="minorBidi"/>
          <w:sz w:val="22"/>
          <w:szCs w:val="22"/>
        </w:rPr>
        <w:t xml:space="preserve">measurement </w:t>
      </w:r>
      <w:r w:rsidR="00582092">
        <w:rPr>
          <w:rFonts w:asciiTheme="minorHAnsi" w:hAnsiTheme="minorHAnsi" w:cstheme="minorBidi"/>
          <w:sz w:val="22"/>
          <w:szCs w:val="22"/>
        </w:rPr>
        <w:t xml:space="preserve">that </w:t>
      </w:r>
      <w:r w:rsidRPr="4AF9E47B" w:rsidR="006005D5">
        <w:rPr>
          <w:rFonts w:asciiTheme="minorHAnsi" w:hAnsiTheme="minorHAnsi" w:cstheme="minorBidi"/>
          <w:sz w:val="22"/>
          <w:szCs w:val="22"/>
        </w:rPr>
        <w:t>predict</w:t>
      </w:r>
      <w:r w:rsidR="00CA4E22">
        <w:rPr>
          <w:rFonts w:asciiTheme="minorHAnsi" w:hAnsiTheme="minorHAnsi" w:cstheme="minorBidi"/>
          <w:sz w:val="22"/>
          <w:szCs w:val="22"/>
        </w:rPr>
        <w:t>s</w:t>
      </w:r>
      <w:r w:rsidRPr="4AF9E47B" w:rsidR="006005D5">
        <w:rPr>
          <w:rFonts w:asciiTheme="minorHAnsi" w:hAnsiTheme="minorHAnsi" w:cstheme="minorBidi"/>
          <w:sz w:val="22"/>
          <w:szCs w:val="22"/>
        </w:rPr>
        <w:t xml:space="preserve"> treatment failure</w:t>
      </w:r>
      <w:r w:rsidR="00582092">
        <w:rPr>
          <w:rFonts w:asciiTheme="minorHAnsi" w:hAnsiTheme="minorHAnsi" w:cstheme="minorBidi"/>
          <w:sz w:val="22"/>
          <w:szCs w:val="22"/>
        </w:rPr>
        <w:t xml:space="preserve"> following radical cure</w:t>
      </w:r>
      <w:r w:rsidRPr="4AF9E47B" w:rsidR="006005D5">
        <w:rPr>
          <w:rFonts w:asciiTheme="minorHAnsi" w:hAnsiTheme="minorHAnsi" w:cstheme="minorBidi"/>
          <w:sz w:val="22"/>
          <w:szCs w:val="22"/>
        </w:rPr>
        <w:t>.</w:t>
      </w:r>
    </w:p>
    <w:p w:rsidRPr="00D942FC" w:rsidR="005D60C9" w:rsidP="4AF9E47B" w:rsidRDefault="005D60C9" w14:paraId="38AAEDD9" w14:textId="77777777">
      <w:pPr>
        <w:pStyle w:val="p1"/>
        <w:jc w:val="both"/>
        <w:rPr>
          <w:rFonts w:asciiTheme="minorHAnsi" w:hAnsiTheme="minorHAnsi" w:cstheme="minorBidi"/>
          <w:color w:val="000000" w:themeColor="text1"/>
          <w:sz w:val="22"/>
          <w:szCs w:val="22"/>
        </w:rPr>
      </w:pPr>
    </w:p>
    <w:p w:rsidRPr="003F41FF" w:rsidR="00457F3C" w:rsidP="4AF9E47B" w:rsidRDefault="00457F3C" w14:paraId="385EBC05" w14:textId="77777777">
      <w:pPr>
        <w:pStyle w:val="Heading2"/>
        <w:rPr>
          <w:rFonts w:asciiTheme="majorHAnsi" w:hAnsiTheme="majorHAnsi"/>
          <w:color w:val="0070C0"/>
          <w:sz w:val="26"/>
          <w:szCs w:val="26"/>
          <w:lang w:val="en-GB"/>
        </w:rPr>
      </w:pPr>
      <w:bookmarkStart w:name="_Toc457660139" w:id="6"/>
      <w:bookmarkStart w:name="_Toc84017822" w:id="7"/>
      <w:r w:rsidRPr="4AF9E47B">
        <w:rPr>
          <w:rFonts w:asciiTheme="majorHAnsi" w:hAnsiTheme="majorHAnsi"/>
          <w:color w:val="0070C0"/>
          <w:sz w:val="26"/>
          <w:szCs w:val="26"/>
          <w:lang w:val="en-GB"/>
        </w:rPr>
        <w:t>1.2. Aim of the study</w:t>
      </w:r>
      <w:bookmarkEnd w:id="6"/>
      <w:bookmarkEnd w:id="7"/>
    </w:p>
    <w:p w:rsidRPr="00DA220E" w:rsidR="00F04226" w:rsidP="4AF9E47B" w:rsidRDefault="00F04226" w14:paraId="75DB5FC1" w14:textId="6E5539A6">
      <w:pPr>
        <w:widowControl w:val="0"/>
        <w:autoSpaceDE w:val="0"/>
        <w:autoSpaceDN w:val="0"/>
        <w:adjustRightInd w:val="0"/>
        <w:jc w:val="both"/>
        <w:rPr>
          <w:rFonts w:cs="OpenSans"/>
        </w:rPr>
      </w:pPr>
      <w:r w:rsidRPr="4AF9E47B">
        <w:t xml:space="preserve">The aim of this study is to investigate the utility of </w:t>
      </w:r>
      <w:r w:rsidRPr="00FC5634" w:rsidR="009168EA">
        <w:t>day</w:t>
      </w:r>
      <w:r w:rsidR="00CA4E22">
        <w:t>-</w:t>
      </w:r>
      <w:r w:rsidRPr="00FC5634" w:rsidR="009168EA">
        <w:t xml:space="preserve">7 </w:t>
      </w:r>
      <w:r w:rsidRPr="00FC5634" w:rsidR="00CA4E22">
        <w:t>methemoglobinemia</w:t>
      </w:r>
      <w:r w:rsidR="009168EA">
        <w:t xml:space="preserve"> </w:t>
      </w:r>
      <w:r w:rsidRPr="4AF9E47B">
        <w:t xml:space="preserve">as a pharmacodynamic </w:t>
      </w:r>
      <w:r w:rsidRPr="4AF9E47B" w:rsidR="00497D76">
        <w:t xml:space="preserve">proxy </w:t>
      </w:r>
      <w:r w:rsidRPr="4AF9E47B">
        <w:t xml:space="preserve">measure </w:t>
      </w:r>
      <w:r w:rsidRPr="4AF9E47B">
        <w:rPr>
          <w:color w:val="000000" w:themeColor="text1"/>
        </w:rPr>
        <w:t xml:space="preserve">of </w:t>
      </w:r>
      <w:r w:rsidRPr="4AF9E47B">
        <w:t>primaquine anti</w:t>
      </w:r>
      <w:r w:rsidRPr="4AF9E47B" w:rsidR="00183DC7">
        <w:t>hypnozoite</w:t>
      </w:r>
      <w:r w:rsidRPr="4AF9E47B">
        <w:t xml:space="preserve"> </w:t>
      </w:r>
      <w:r w:rsidRPr="4AF9E47B" w:rsidR="004C3188">
        <w:t>activity</w:t>
      </w:r>
      <w:r w:rsidRPr="4AF9E47B">
        <w:t xml:space="preserve"> in patients with</w:t>
      </w:r>
      <w:r w:rsidR="00F01264">
        <w:t xml:space="preserve"> symptomatic</w:t>
      </w:r>
      <w:r w:rsidRPr="4AF9E47B">
        <w:t xml:space="preserve"> </w:t>
      </w:r>
      <w:r w:rsidRPr="4AF9E47B" w:rsidR="004C3188">
        <w:rPr>
          <w:i/>
          <w:iCs/>
        </w:rPr>
        <w:t>Plasmodium vivax</w:t>
      </w:r>
      <w:r w:rsidRPr="4AF9E47B">
        <w:t xml:space="preserve"> malaria</w:t>
      </w:r>
      <w:r w:rsidRPr="4AF9E47B" w:rsidR="000B7321">
        <w:t>.</w:t>
      </w:r>
    </w:p>
    <w:p w:rsidRPr="00DE3292" w:rsidR="009168EA" w:rsidP="00DE3292" w:rsidRDefault="00457F3C" w14:paraId="03144775" w14:textId="571A9681">
      <w:pPr>
        <w:pStyle w:val="Heading2"/>
        <w:rPr>
          <w:rFonts w:asciiTheme="majorHAnsi" w:hAnsiTheme="majorHAnsi"/>
          <w:color w:val="0070C0"/>
          <w:sz w:val="26"/>
          <w:szCs w:val="26"/>
          <w:lang w:val="en-GB"/>
        </w:rPr>
      </w:pPr>
      <w:bookmarkStart w:name="_Toc457660140" w:id="8"/>
      <w:bookmarkStart w:name="_Toc84017823" w:id="9"/>
      <w:r w:rsidRPr="4AF9E47B">
        <w:rPr>
          <w:rFonts w:asciiTheme="majorHAnsi" w:hAnsiTheme="majorHAnsi"/>
          <w:color w:val="0070C0"/>
          <w:sz w:val="26"/>
          <w:szCs w:val="26"/>
          <w:lang w:val="en-GB"/>
        </w:rPr>
        <w:t>1.3. Eligibility criteria for inclusion</w:t>
      </w:r>
      <w:bookmarkEnd w:id="8"/>
      <w:bookmarkEnd w:id="9"/>
      <w:r w:rsidR="00FE7ABC">
        <w:rPr>
          <w:rFonts w:asciiTheme="majorHAnsi" w:hAnsiTheme="majorHAnsi"/>
          <w:color w:val="0070C0"/>
          <w:sz w:val="26"/>
          <w:szCs w:val="26"/>
          <w:lang w:val="en-GB"/>
        </w:rPr>
        <w:t xml:space="preserve"> in analysis</w:t>
      </w:r>
    </w:p>
    <w:p w:rsidR="00DE3292" w:rsidP="00DE3292" w:rsidRDefault="00DE3292" w14:paraId="31343CB8" w14:textId="06C1C6AA">
      <w:pPr>
        <w:pStyle w:val="Heading2"/>
        <w:keepLines/>
        <w:numPr>
          <w:ilvl w:val="1"/>
          <w:numId w:val="1"/>
        </w:numPr>
        <w:spacing w:before="200" w:after="0"/>
        <w:ind w:left="567" w:hanging="567"/>
        <w:jc w:val="both"/>
        <w:rPr>
          <w:rStyle w:val="Strong"/>
          <w:rFonts w:asciiTheme="minorHAnsi" w:hAnsiTheme="minorHAnsi"/>
          <w:b/>
          <w:bCs/>
          <w:color w:val="000000" w:themeColor="text1"/>
          <w:lang w:val="en-GB"/>
        </w:rPr>
      </w:pPr>
      <w:bookmarkStart w:name="_Toc84017824" w:id="10"/>
      <w:r>
        <w:rPr>
          <w:rStyle w:val="Strong"/>
          <w:rFonts w:asciiTheme="minorHAnsi" w:hAnsiTheme="minorHAnsi"/>
          <w:b/>
          <w:bCs/>
          <w:color w:val="000000" w:themeColor="text1"/>
          <w:lang w:val="en-GB"/>
        </w:rPr>
        <w:t>Essential criteria of eligible studies</w:t>
      </w:r>
    </w:p>
    <w:p w:rsidR="00DE3292" w:rsidP="00DE3292" w:rsidRDefault="00DE3292" w14:paraId="6149B664" w14:textId="1A72346D">
      <w:pPr>
        <w:pStyle w:val="ListParagraph"/>
        <w:numPr>
          <w:ilvl w:val="0"/>
          <w:numId w:val="15"/>
        </w:numPr>
        <w:spacing w:after="0"/>
        <w:rPr>
          <w:lang w:val="en-GB"/>
        </w:rPr>
      </w:pPr>
      <w:r w:rsidRPr="4AF9E47B">
        <w:rPr>
          <w:lang w:val="en-GB"/>
        </w:rPr>
        <w:t xml:space="preserve">Prospective clinical efficacy studies of uncomplicated vivax malaria; including randomised and non-randomised therapeutic trials, </w:t>
      </w:r>
      <w:r w:rsidR="00A517A5">
        <w:rPr>
          <w:lang w:val="en-GB"/>
        </w:rPr>
        <w:t xml:space="preserve">and </w:t>
      </w:r>
      <w:r w:rsidRPr="4AF9E47B">
        <w:rPr>
          <w:lang w:val="en-GB"/>
        </w:rPr>
        <w:t>prospective cohort studies with active follow-up</w:t>
      </w:r>
    </w:p>
    <w:p w:rsidR="00DE3292" w:rsidP="00DE3292" w:rsidRDefault="00DE3292" w14:paraId="63E71103" w14:textId="77777777">
      <w:pPr>
        <w:pStyle w:val="ListParagraph"/>
        <w:numPr>
          <w:ilvl w:val="0"/>
          <w:numId w:val="15"/>
        </w:numPr>
        <w:spacing w:after="0"/>
        <w:rPr>
          <w:lang w:val="en-GB"/>
        </w:rPr>
      </w:pPr>
      <w:r w:rsidRPr="4AF9E47B">
        <w:rPr>
          <w:lang w:val="en-GB"/>
        </w:rPr>
        <w:t xml:space="preserve">A minimum follow-up </w:t>
      </w:r>
      <w:r w:rsidRPr="00AD584E">
        <w:rPr>
          <w:lang w:val="en-GB"/>
        </w:rPr>
        <w:t>of 42 days</w:t>
      </w:r>
    </w:p>
    <w:p w:rsidRPr="00DE3292" w:rsidR="00DE3292" w:rsidP="00DE3292" w:rsidRDefault="00DE3292" w14:paraId="2C80B919" w14:textId="1008DD4F">
      <w:pPr>
        <w:pStyle w:val="ListParagraph"/>
        <w:numPr>
          <w:ilvl w:val="0"/>
          <w:numId w:val="15"/>
        </w:numPr>
        <w:spacing w:after="0"/>
        <w:rPr>
          <w:lang w:val="en-GB"/>
        </w:rPr>
      </w:pPr>
      <w:r w:rsidRPr="4AF9E47B">
        <w:rPr>
          <w:lang w:val="en-GB"/>
        </w:rPr>
        <w:t>Treatment with a daily primaquine regimen given within the first three days of a schizontocidal treatment, i.e., chloroquine</w:t>
      </w:r>
      <w:r w:rsidR="00092071">
        <w:rPr>
          <w:lang w:val="en-GB"/>
        </w:rPr>
        <w:t xml:space="preserve"> or quinine</w:t>
      </w:r>
      <w:r w:rsidRPr="4AF9E47B">
        <w:rPr>
          <w:lang w:val="en-GB"/>
        </w:rPr>
        <w:t xml:space="preserve"> or one of six common artemisinin-based combination therapies (artemether-lumefantrine, artesunate-mefloquine, artesunate-amodiaquine, </w:t>
      </w:r>
      <w:proofErr w:type="spellStart"/>
      <w:r w:rsidRPr="4AF9E47B">
        <w:rPr>
          <w:lang w:val="en-GB"/>
        </w:rPr>
        <w:t>dihydroartemisinin</w:t>
      </w:r>
      <w:proofErr w:type="spellEnd"/>
      <w:r w:rsidRPr="4AF9E47B">
        <w:rPr>
          <w:lang w:val="en-GB"/>
        </w:rPr>
        <w:t>-piperaquine, artesunate-</w:t>
      </w:r>
      <w:proofErr w:type="spellStart"/>
      <w:r w:rsidRPr="4AF9E47B">
        <w:rPr>
          <w:lang w:val="en-GB"/>
        </w:rPr>
        <w:t>sulfadoxine</w:t>
      </w:r>
      <w:proofErr w:type="spellEnd"/>
      <w:r w:rsidRPr="4AF9E47B">
        <w:rPr>
          <w:lang w:val="en-GB"/>
        </w:rPr>
        <w:t>-pyrimethamine, artesunate-pyronaridine)</w:t>
      </w:r>
    </w:p>
    <w:bookmarkEnd w:id="10"/>
    <w:p w:rsidR="00DE3292" w:rsidP="00DE3292" w:rsidRDefault="00DE3292" w14:paraId="2D451DDC" w14:textId="77777777">
      <w:pPr>
        <w:pStyle w:val="Heading2"/>
        <w:keepLines/>
        <w:numPr>
          <w:ilvl w:val="1"/>
          <w:numId w:val="1"/>
        </w:numPr>
        <w:spacing w:before="200" w:after="0"/>
        <w:ind w:left="567" w:hanging="567"/>
        <w:jc w:val="both"/>
        <w:rPr>
          <w:rStyle w:val="Strong"/>
          <w:rFonts w:asciiTheme="minorHAnsi" w:hAnsiTheme="minorHAnsi"/>
          <w:b/>
          <w:bCs/>
          <w:color w:val="000000" w:themeColor="text1"/>
          <w:lang w:val="en-GB"/>
        </w:rPr>
      </w:pPr>
      <w:r w:rsidRPr="4AF9E47B">
        <w:rPr>
          <w:rStyle w:val="Strong"/>
          <w:rFonts w:asciiTheme="minorHAnsi" w:hAnsiTheme="minorHAnsi"/>
          <w:b/>
          <w:bCs/>
          <w:color w:val="000000" w:themeColor="text1"/>
          <w:lang w:val="en-GB"/>
        </w:rPr>
        <w:t>Essential data for inclusion in the analysi</w:t>
      </w:r>
      <w:r>
        <w:rPr>
          <w:rStyle w:val="Strong"/>
          <w:rFonts w:asciiTheme="minorHAnsi" w:hAnsiTheme="minorHAnsi"/>
          <w:b/>
          <w:bCs/>
          <w:color w:val="000000" w:themeColor="text1"/>
          <w:lang w:val="en-GB"/>
        </w:rPr>
        <w:t>s</w:t>
      </w:r>
    </w:p>
    <w:p w:rsidR="002C6ED5" w:rsidP="007B683C" w:rsidRDefault="00BC4C5D" w14:paraId="47FE8C85" w14:textId="5BDB3FE8">
      <w:pPr>
        <w:pStyle w:val="ListParagraph"/>
        <w:numPr>
          <w:ilvl w:val="0"/>
          <w:numId w:val="4"/>
        </w:numPr>
        <w:spacing w:after="0"/>
        <w:ind w:left="284" w:hanging="284"/>
        <w:rPr>
          <w:lang w:val="en-GB"/>
        </w:rPr>
      </w:pPr>
      <w:r w:rsidRPr="4AF9E47B">
        <w:rPr>
          <w:lang w:val="en-GB"/>
        </w:rPr>
        <w:t xml:space="preserve">Information on schizontocidal treatment </w:t>
      </w:r>
      <w:r w:rsidRPr="4AF9E47B" w:rsidR="00B925A0">
        <w:rPr>
          <w:lang w:val="en-GB"/>
        </w:rPr>
        <w:t xml:space="preserve">and </w:t>
      </w:r>
      <w:r w:rsidRPr="4AF9E47B">
        <w:rPr>
          <w:lang w:val="en-GB"/>
        </w:rPr>
        <w:t>timing, dose, and duration of primaquine</w:t>
      </w:r>
    </w:p>
    <w:p w:rsidR="00BC4C5D" w:rsidP="007B683C" w:rsidRDefault="00A00558" w14:paraId="31047AD4" w14:textId="58BE647A">
      <w:pPr>
        <w:pStyle w:val="ListParagraph"/>
        <w:numPr>
          <w:ilvl w:val="0"/>
          <w:numId w:val="4"/>
        </w:numPr>
        <w:spacing w:after="0"/>
        <w:ind w:left="284" w:hanging="284"/>
        <w:rPr>
          <w:lang w:val="en-GB"/>
        </w:rPr>
      </w:pPr>
      <w:r w:rsidRPr="4AF9E47B">
        <w:rPr>
          <w:lang w:val="en-GB"/>
        </w:rPr>
        <w:t>Baseline data on patient</w:t>
      </w:r>
      <w:r w:rsidR="005D0F97">
        <w:rPr>
          <w:lang w:val="en-GB"/>
        </w:rPr>
        <w:t>,</w:t>
      </w:r>
      <w:r w:rsidRPr="4AF9E47B">
        <w:rPr>
          <w:lang w:val="en-GB"/>
        </w:rPr>
        <w:t xml:space="preserve"> weight, age,</w:t>
      </w:r>
      <w:r w:rsidRPr="4AF9E47B" w:rsidR="1E384DE7">
        <w:rPr>
          <w:lang w:val="en-GB"/>
        </w:rPr>
        <w:t xml:space="preserve"> and</w:t>
      </w:r>
      <w:r w:rsidRPr="4AF9E47B">
        <w:rPr>
          <w:lang w:val="en-GB"/>
        </w:rPr>
        <w:t xml:space="preserve"> sex</w:t>
      </w:r>
    </w:p>
    <w:p w:rsidR="00A31669" w:rsidP="007B683C" w:rsidRDefault="00A00558" w14:paraId="76B93EE7" w14:textId="5830F9BD">
      <w:pPr>
        <w:pStyle w:val="ListParagraph"/>
        <w:numPr>
          <w:ilvl w:val="0"/>
          <w:numId w:val="4"/>
        </w:numPr>
        <w:spacing w:after="0"/>
        <w:ind w:left="284" w:hanging="284"/>
        <w:rPr>
          <w:lang w:val="en-GB"/>
        </w:rPr>
      </w:pPr>
      <w:r w:rsidRPr="4AF9E47B">
        <w:rPr>
          <w:lang w:val="en-GB"/>
        </w:rPr>
        <w:t>Methaemoglobin concentration</w:t>
      </w:r>
      <w:r w:rsidRPr="4AF9E47B" w:rsidR="00D73A8C">
        <w:rPr>
          <w:lang w:val="en-GB"/>
        </w:rPr>
        <w:t>s</w:t>
      </w:r>
      <w:r w:rsidRPr="4AF9E47B">
        <w:rPr>
          <w:lang w:val="en-GB"/>
        </w:rPr>
        <w:t xml:space="preserve"> measured at baseline and at least once in the first week of follow-up</w:t>
      </w:r>
      <w:r w:rsidR="009168EA">
        <w:rPr>
          <w:lang w:val="en-GB"/>
        </w:rPr>
        <w:t xml:space="preserve"> between days 5 and 9</w:t>
      </w:r>
    </w:p>
    <w:p w:rsidRPr="003F41FF" w:rsidR="00457F3C" w:rsidP="007B683C" w:rsidRDefault="00457F3C" w14:paraId="0EE26653" w14:textId="02D5DDE7">
      <w:pPr>
        <w:pStyle w:val="Heading2"/>
        <w:keepLines/>
        <w:numPr>
          <w:ilvl w:val="1"/>
          <w:numId w:val="1"/>
        </w:numPr>
        <w:spacing w:before="200" w:after="0"/>
        <w:ind w:left="567" w:hanging="567"/>
        <w:jc w:val="both"/>
        <w:rPr>
          <w:rFonts w:asciiTheme="minorHAnsi" w:hAnsiTheme="minorHAnsi"/>
          <w:b/>
          <w:bCs/>
          <w:color w:val="000000" w:themeColor="text1"/>
          <w:sz w:val="22"/>
          <w:szCs w:val="22"/>
          <w:lang w:val="en-GB"/>
        </w:rPr>
      </w:pPr>
      <w:bookmarkStart w:name="_Toc457660142" w:id="11"/>
      <w:bookmarkStart w:name="_Toc84017825" w:id="12"/>
      <w:r w:rsidRPr="4AF9E47B">
        <w:rPr>
          <w:rStyle w:val="Strong"/>
          <w:rFonts w:asciiTheme="minorHAnsi" w:hAnsiTheme="minorHAnsi"/>
          <w:b/>
          <w:bCs/>
          <w:color w:val="000000" w:themeColor="text1"/>
          <w:lang w:val="en-GB"/>
        </w:rPr>
        <w:t xml:space="preserve">Desirable </w:t>
      </w:r>
      <w:r w:rsidRPr="4AF9E47B" w:rsidR="00A03F20">
        <w:rPr>
          <w:rStyle w:val="Strong"/>
          <w:rFonts w:asciiTheme="minorHAnsi" w:hAnsiTheme="minorHAnsi"/>
          <w:b/>
          <w:bCs/>
          <w:color w:val="000000" w:themeColor="text1"/>
          <w:lang w:val="en-GB"/>
        </w:rPr>
        <w:t>data for inclusion in the analysis</w:t>
      </w:r>
      <w:bookmarkEnd w:id="11"/>
      <w:bookmarkEnd w:id="12"/>
    </w:p>
    <w:p w:rsidR="00D45030" w:rsidP="007B683C" w:rsidRDefault="00D45030" w14:paraId="2FA09A56" w14:textId="431B974E">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Individual tablet or m</w:t>
      </w:r>
      <w:r w:rsidRPr="4AF9E47B" w:rsidR="41AD6451">
        <w:rPr>
          <w:color w:val="000000" w:themeColor="text1"/>
          <w:lang w:val="en-GB"/>
        </w:rPr>
        <w:t>g</w:t>
      </w:r>
      <w:r w:rsidRPr="4AF9E47B">
        <w:rPr>
          <w:color w:val="000000" w:themeColor="text1"/>
          <w:lang w:val="en-GB"/>
        </w:rPr>
        <w:t xml:space="preserve"> dosing</w:t>
      </w:r>
    </w:p>
    <w:p w:rsidRPr="00A12514" w:rsidR="00A12514" w:rsidP="00A12514" w:rsidRDefault="00A12514" w14:paraId="3C088545" w14:textId="78FFF96A">
      <w:pPr>
        <w:pStyle w:val="ListParagraph"/>
        <w:numPr>
          <w:ilvl w:val="0"/>
          <w:numId w:val="5"/>
        </w:numPr>
        <w:spacing w:after="160" w:line="259" w:lineRule="auto"/>
        <w:ind w:left="284" w:hanging="284"/>
        <w:rPr>
          <w:color w:val="000000" w:themeColor="text1"/>
          <w:lang w:val="en-GB"/>
        </w:rPr>
      </w:pPr>
      <w:r>
        <w:rPr>
          <w:color w:val="000000" w:themeColor="text1"/>
          <w:lang w:val="en-GB"/>
        </w:rPr>
        <w:t>Baseline p</w:t>
      </w:r>
      <w:r w:rsidRPr="00A12514">
        <w:rPr>
          <w:color w:val="000000" w:themeColor="text1"/>
          <w:lang w:val="en-GB"/>
        </w:rPr>
        <w:t>arasit</w:t>
      </w:r>
      <w:r>
        <w:rPr>
          <w:color w:val="000000" w:themeColor="text1"/>
          <w:lang w:val="en-GB"/>
        </w:rPr>
        <w:t>aemia</w:t>
      </w:r>
    </w:p>
    <w:p w:rsidRPr="00D1109D" w:rsidR="00D45030" w:rsidP="007B683C" w:rsidRDefault="00D45030" w14:paraId="3F4D9CCD" w14:textId="00DE2B93">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Documentation o</w:t>
      </w:r>
      <w:r w:rsidR="00BE79DA">
        <w:rPr>
          <w:color w:val="000000" w:themeColor="text1"/>
          <w:lang w:val="en-GB"/>
        </w:rPr>
        <w:t>f</w:t>
      </w:r>
      <w:r w:rsidRPr="4AF9E47B">
        <w:rPr>
          <w:color w:val="000000" w:themeColor="text1"/>
          <w:lang w:val="en-GB"/>
        </w:rPr>
        <w:t xml:space="preserve"> the supervision of drug administration</w:t>
      </w:r>
    </w:p>
    <w:p w:rsidRPr="00D1109D" w:rsidR="00D45030" w:rsidP="007B683C" w:rsidRDefault="00D45030" w14:paraId="1F8529DC" w14:textId="6088157F">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 xml:space="preserve">Haemoglobin </w:t>
      </w:r>
      <w:r w:rsidR="006503CF">
        <w:rPr>
          <w:color w:val="000000" w:themeColor="text1"/>
          <w:lang w:val="en-GB"/>
        </w:rPr>
        <w:t>o</w:t>
      </w:r>
      <w:r w:rsidR="009635C6">
        <w:rPr>
          <w:color w:val="000000" w:themeColor="text1"/>
          <w:lang w:val="en-GB"/>
        </w:rPr>
        <w:t>r</w:t>
      </w:r>
      <w:r w:rsidR="006503CF">
        <w:rPr>
          <w:color w:val="000000" w:themeColor="text1"/>
          <w:lang w:val="en-GB"/>
        </w:rPr>
        <w:t xml:space="preserve"> haematocrit </w:t>
      </w:r>
      <w:r w:rsidRPr="4AF9E47B">
        <w:rPr>
          <w:color w:val="000000" w:themeColor="text1"/>
          <w:lang w:val="en-GB"/>
        </w:rPr>
        <w:t>measured on day 0 and at least once during follow</w:t>
      </w:r>
      <w:r w:rsidRPr="4AF9E47B" w:rsidR="00D73A8C">
        <w:rPr>
          <w:color w:val="000000" w:themeColor="text1"/>
          <w:lang w:val="en-GB"/>
        </w:rPr>
        <w:t>-</w:t>
      </w:r>
      <w:r w:rsidRPr="4AF9E47B">
        <w:rPr>
          <w:color w:val="000000" w:themeColor="text1"/>
          <w:lang w:val="en-GB"/>
        </w:rPr>
        <w:t>up</w:t>
      </w:r>
    </w:p>
    <w:p w:rsidRPr="004A32FD" w:rsidR="00D45030" w:rsidP="007B683C" w:rsidRDefault="00D45030" w14:paraId="24046BCF"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Qualitative or quantitative assessment of G6PD status</w:t>
      </w:r>
    </w:p>
    <w:p w:rsidRPr="004A32FD" w:rsidR="00D45030" w:rsidP="007B683C" w:rsidRDefault="00D45030" w14:paraId="58A8B246"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CYP2D6 status</w:t>
      </w:r>
    </w:p>
    <w:p w:rsidRPr="004A32FD" w:rsidR="00D45030" w:rsidP="007B683C" w:rsidRDefault="00D45030" w14:paraId="5ACC0B9C"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Food administration</w:t>
      </w:r>
    </w:p>
    <w:p w:rsidRPr="004A32FD" w:rsidR="00D45030" w:rsidP="007B683C" w:rsidRDefault="00D45030" w14:paraId="60E633E4" w14:textId="587C3E2B">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History of fever within the last 24 hours at baseline and during follow</w:t>
      </w:r>
      <w:r w:rsidRPr="4AF9E47B" w:rsidR="00D73A8C">
        <w:rPr>
          <w:color w:val="000000" w:themeColor="text1"/>
          <w:lang w:val="en-GB"/>
        </w:rPr>
        <w:t>-</w:t>
      </w:r>
      <w:r w:rsidRPr="4AF9E47B">
        <w:rPr>
          <w:color w:val="000000" w:themeColor="text1"/>
          <w:lang w:val="en-GB"/>
        </w:rPr>
        <w:t>up</w:t>
      </w:r>
    </w:p>
    <w:p w:rsidRPr="004A32FD" w:rsidR="00D45030" w:rsidP="007B683C" w:rsidRDefault="00D45030" w14:paraId="7A6191F5" w14:textId="35BC74B9">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 xml:space="preserve">Data on vomiting </w:t>
      </w:r>
      <w:r w:rsidR="006C5BCF">
        <w:rPr>
          <w:color w:val="000000" w:themeColor="text1"/>
          <w:lang w:val="en-GB"/>
        </w:rPr>
        <w:t xml:space="preserve">within </w:t>
      </w:r>
      <w:proofErr w:type="gramStart"/>
      <w:r w:rsidR="006C5BCF">
        <w:rPr>
          <w:color w:val="000000" w:themeColor="text1"/>
          <w:lang w:val="en-GB"/>
        </w:rPr>
        <w:t>1 hour</w:t>
      </w:r>
      <w:proofErr w:type="gramEnd"/>
      <w:r w:rsidR="006C5BCF">
        <w:rPr>
          <w:color w:val="000000" w:themeColor="text1"/>
          <w:lang w:val="en-GB"/>
        </w:rPr>
        <w:t xml:space="preserve"> </w:t>
      </w:r>
      <w:r w:rsidRPr="4AF9E47B">
        <w:rPr>
          <w:color w:val="000000" w:themeColor="text1"/>
          <w:lang w:val="en-GB"/>
        </w:rPr>
        <w:t>post-administration</w:t>
      </w:r>
    </w:p>
    <w:p w:rsidRPr="004A32FD" w:rsidR="00D45030" w:rsidP="007B683C" w:rsidRDefault="00D45030" w14:paraId="0C2965EF" w14:textId="77777777">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Primaquine/metabolite drug concentrations</w:t>
      </w:r>
    </w:p>
    <w:p w:rsidRPr="00D45030" w:rsidR="00A31669" w:rsidP="007B683C" w:rsidRDefault="00D45030" w14:paraId="03D0E5DB" w14:textId="45027744">
      <w:pPr>
        <w:pStyle w:val="ListParagraph"/>
        <w:numPr>
          <w:ilvl w:val="0"/>
          <w:numId w:val="5"/>
        </w:numPr>
        <w:spacing w:after="160" w:line="259" w:lineRule="auto"/>
        <w:ind w:left="284" w:hanging="284"/>
        <w:rPr>
          <w:color w:val="000000" w:themeColor="text1"/>
          <w:lang w:val="en-GB"/>
        </w:rPr>
      </w:pPr>
      <w:r w:rsidRPr="4AF9E47B">
        <w:rPr>
          <w:color w:val="000000" w:themeColor="text1"/>
          <w:lang w:val="en-GB"/>
        </w:rPr>
        <w:t>Partner drug levels</w:t>
      </w:r>
      <w:r w:rsidR="00F01264">
        <w:rPr>
          <w:color w:val="000000" w:themeColor="text1"/>
          <w:lang w:val="en-GB"/>
        </w:rPr>
        <w:t xml:space="preserve"> in terminal elimination phase (e</w:t>
      </w:r>
      <w:r w:rsidR="008253CC">
        <w:rPr>
          <w:color w:val="000000" w:themeColor="text1"/>
          <w:lang w:val="en-GB"/>
        </w:rPr>
        <w:t>.</w:t>
      </w:r>
      <w:r w:rsidR="00F01264">
        <w:rPr>
          <w:color w:val="000000" w:themeColor="text1"/>
          <w:lang w:val="en-GB"/>
        </w:rPr>
        <w:t>g</w:t>
      </w:r>
      <w:r w:rsidR="008253CC">
        <w:rPr>
          <w:color w:val="000000" w:themeColor="text1"/>
          <w:lang w:val="en-GB"/>
        </w:rPr>
        <w:t>.,</w:t>
      </w:r>
      <w:r w:rsidR="00F01264">
        <w:rPr>
          <w:color w:val="000000" w:themeColor="text1"/>
          <w:lang w:val="en-GB"/>
        </w:rPr>
        <w:t xml:space="preserve"> day</w:t>
      </w:r>
      <w:r w:rsidR="008253CC">
        <w:rPr>
          <w:color w:val="000000" w:themeColor="text1"/>
          <w:lang w:val="en-GB"/>
        </w:rPr>
        <w:t>-</w:t>
      </w:r>
      <w:r w:rsidR="00F01264">
        <w:rPr>
          <w:color w:val="000000" w:themeColor="text1"/>
          <w:lang w:val="en-GB"/>
        </w:rPr>
        <w:t>7 levels)</w:t>
      </w:r>
    </w:p>
    <w:p w:rsidRPr="003F41FF" w:rsidR="00912466" w:rsidP="007B683C" w:rsidRDefault="00912466" w14:paraId="5D736B2B" w14:textId="1AF8AE27">
      <w:pPr>
        <w:pStyle w:val="Heading2"/>
        <w:keepLines/>
        <w:numPr>
          <w:ilvl w:val="1"/>
          <w:numId w:val="1"/>
        </w:numPr>
        <w:spacing w:before="200" w:after="0"/>
        <w:ind w:left="567" w:hanging="567"/>
        <w:jc w:val="both"/>
        <w:rPr>
          <w:rFonts w:asciiTheme="minorHAnsi" w:hAnsiTheme="minorHAnsi"/>
          <w:b/>
          <w:bCs/>
          <w:color w:val="000000" w:themeColor="text1"/>
          <w:sz w:val="22"/>
          <w:szCs w:val="22"/>
          <w:lang w:val="en-GB"/>
        </w:rPr>
      </w:pPr>
      <w:bookmarkStart w:name="_Toc84017826" w:id="13"/>
      <w:r w:rsidRPr="4AF9E47B">
        <w:rPr>
          <w:rStyle w:val="Strong"/>
          <w:rFonts w:asciiTheme="minorHAnsi" w:hAnsiTheme="minorHAnsi"/>
          <w:b/>
          <w:bCs/>
          <w:color w:val="000000" w:themeColor="text1"/>
          <w:lang w:val="en-GB"/>
        </w:rPr>
        <w:t>Exclusion criteria</w:t>
      </w:r>
      <w:bookmarkEnd w:id="13"/>
    </w:p>
    <w:p w:rsidR="00457F3C" w:rsidP="007B683C" w:rsidRDefault="00457F3C" w14:paraId="4B5CBEA6" w14:textId="55186033">
      <w:pPr>
        <w:pStyle w:val="ListParagraph"/>
        <w:numPr>
          <w:ilvl w:val="0"/>
          <w:numId w:val="2"/>
        </w:numPr>
        <w:spacing w:after="0"/>
        <w:ind w:left="284" w:hanging="284"/>
        <w:rPr>
          <w:color w:val="000000" w:themeColor="text1"/>
          <w:lang w:val="en-GB"/>
        </w:rPr>
      </w:pPr>
      <w:r w:rsidRPr="4AF9E47B">
        <w:rPr>
          <w:color w:val="000000" w:themeColor="text1"/>
          <w:lang w:val="en-GB"/>
        </w:rPr>
        <w:t>Pregnancy</w:t>
      </w:r>
    </w:p>
    <w:p w:rsidR="00FC5D3E" w:rsidP="007B683C" w:rsidRDefault="0001029C" w14:paraId="7075004C" w14:textId="660BBD48">
      <w:pPr>
        <w:pStyle w:val="ListParagraph"/>
        <w:numPr>
          <w:ilvl w:val="0"/>
          <w:numId w:val="2"/>
        </w:numPr>
        <w:spacing w:after="0"/>
        <w:ind w:left="284" w:hanging="284"/>
        <w:rPr>
          <w:color w:val="000000" w:themeColor="text1"/>
          <w:lang w:val="en-GB"/>
        </w:rPr>
      </w:pPr>
      <w:r w:rsidRPr="4AF9E47B">
        <w:rPr>
          <w:color w:val="000000" w:themeColor="text1"/>
          <w:lang w:val="en-GB"/>
        </w:rPr>
        <w:t xml:space="preserve">Severe </w:t>
      </w:r>
      <w:r w:rsidRPr="4AF9E47B" w:rsidR="00FC5D3E">
        <w:rPr>
          <w:color w:val="000000" w:themeColor="text1"/>
          <w:lang w:val="en-GB"/>
        </w:rPr>
        <w:t>malaria</w:t>
      </w:r>
    </w:p>
    <w:p w:rsidR="008359CB" w:rsidP="007B683C" w:rsidRDefault="00FC5D3E" w14:paraId="4FD3CDC2" w14:textId="3BF80EFE">
      <w:pPr>
        <w:pStyle w:val="ListParagraph"/>
        <w:numPr>
          <w:ilvl w:val="0"/>
          <w:numId w:val="2"/>
        </w:numPr>
        <w:spacing w:after="0"/>
        <w:ind w:left="284" w:hanging="284"/>
        <w:rPr>
          <w:color w:val="000000" w:themeColor="text1"/>
          <w:lang w:val="en-GB"/>
        </w:rPr>
      </w:pPr>
      <w:r w:rsidRPr="4AF9E47B">
        <w:rPr>
          <w:color w:val="000000" w:themeColor="text1"/>
          <w:lang w:val="en-GB"/>
        </w:rPr>
        <w:t>Adjunctive antimalarial treatments</w:t>
      </w:r>
      <w:r w:rsidRPr="4AF9E47B" w:rsidR="00697CAA">
        <w:rPr>
          <w:color w:val="000000" w:themeColor="text1"/>
          <w:lang w:val="en-GB"/>
        </w:rPr>
        <w:t xml:space="preserve"> after the initial schizontocidal treatment</w:t>
      </w:r>
    </w:p>
    <w:p w:rsidRPr="00B062BB" w:rsidR="00B062BB" w:rsidP="00B062BB" w:rsidRDefault="00B062BB" w14:paraId="6C8D1162" w14:textId="77777777">
      <w:pPr>
        <w:pStyle w:val="Default"/>
        <w:spacing w:line="276" w:lineRule="auto"/>
        <w:ind w:left="360"/>
        <w:rPr>
          <w:rFonts w:asciiTheme="minorHAnsi" w:hAnsiTheme="minorHAnsi"/>
          <w:color w:val="000000" w:themeColor="text1"/>
          <w:sz w:val="22"/>
          <w:szCs w:val="22"/>
        </w:rPr>
      </w:pPr>
    </w:p>
    <w:p w:rsidRPr="003F41FF" w:rsidR="00457F3C" w:rsidP="4AF9E47B" w:rsidRDefault="00457F3C" w14:paraId="7685C81A" w14:textId="170D18AD">
      <w:pPr>
        <w:pStyle w:val="Heading2"/>
        <w:rPr>
          <w:rFonts w:asciiTheme="majorHAnsi" w:hAnsiTheme="majorHAnsi"/>
          <w:color w:val="0070C0"/>
          <w:sz w:val="26"/>
          <w:szCs w:val="26"/>
          <w:lang w:val="en-GB"/>
        </w:rPr>
      </w:pPr>
      <w:bookmarkStart w:name="_Toc457660143" w:id="14"/>
      <w:bookmarkStart w:name="_Toc84017831" w:id="15"/>
      <w:r w:rsidRPr="4AF9E47B">
        <w:rPr>
          <w:rFonts w:asciiTheme="majorHAnsi" w:hAnsiTheme="majorHAnsi"/>
          <w:color w:val="0070C0"/>
          <w:sz w:val="26"/>
          <w:szCs w:val="26"/>
          <w:lang w:val="en-GB"/>
        </w:rPr>
        <w:t>1.</w:t>
      </w:r>
      <w:r w:rsidR="005C52E3">
        <w:rPr>
          <w:rFonts w:asciiTheme="majorHAnsi" w:hAnsiTheme="majorHAnsi"/>
          <w:color w:val="0070C0"/>
          <w:sz w:val="26"/>
          <w:szCs w:val="26"/>
          <w:lang w:val="en-GB"/>
        </w:rPr>
        <w:t>4</w:t>
      </w:r>
      <w:r w:rsidRPr="4AF9E47B">
        <w:rPr>
          <w:rFonts w:asciiTheme="majorHAnsi" w:hAnsiTheme="majorHAnsi"/>
          <w:color w:val="0070C0"/>
          <w:sz w:val="26"/>
          <w:szCs w:val="26"/>
          <w:lang w:val="en-GB"/>
        </w:rPr>
        <w:t>. Data Pooling</w:t>
      </w:r>
      <w:bookmarkEnd w:id="14"/>
      <w:bookmarkEnd w:id="15"/>
    </w:p>
    <w:p w:rsidRPr="00AC5030" w:rsidR="008379F6" w:rsidP="4AF9E47B" w:rsidRDefault="00977FE7" w14:paraId="5EC32954" w14:textId="001C4587">
      <w:pPr>
        <w:rPr>
          <w:rFonts w:cstheme="minorBidi"/>
          <w:color w:val="000000" w:themeColor="text1"/>
        </w:rPr>
      </w:pPr>
      <w:r w:rsidRPr="4AF9E47B">
        <w:rPr>
          <w:rFonts w:cstheme="minorBidi"/>
          <w:color w:val="000000" w:themeColor="text1"/>
        </w:rPr>
        <w:t>Embase, Medline, Web of Science, and the Cochrane Library will be systematically searched</w:t>
      </w:r>
      <w:r w:rsidR="00E2341E">
        <w:rPr>
          <w:rFonts w:cstheme="minorBidi"/>
          <w:color w:val="000000" w:themeColor="text1"/>
        </w:rPr>
        <w:t xml:space="preserve"> based on a</w:t>
      </w:r>
      <w:r w:rsidR="00886B01">
        <w:rPr>
          <w:rFonts w:cstheme="minorBidi"/>
          <w:color w:val="000000" w:themeColor="text1"/>
        </w:rPr>
        <w:t xml:space="preserve">n existing and living </w:t>
      </w:r>
      <w:r w:rsidR="00E2341E">
        <w:rPr>
          <w:rFonts w:cstheme="minorBidi"/>
          <w:color w:val="000000" w:themeColor="text1"/>
        </w:rPr>
        <w:t xml:space="preserve">systematic review </w:t>
      </w:r>
      <w:r w:rsidR="00E2341E">
        <w:rPr>
          <w:rFonts w:cstheme="minorBidi"/>
          <w:color w:val="000000" w:themeColor="text1"/>
        </w:rPr>
        <w:fldChar w:fldCharType="begin"/>
      </w:r>
      <w:r w:rsidR="005E0647">
        <w:rPr>
          <w:rFonts w:cstheme="minorBidi"/>
          <w:color w:val="000000" w:themeColor="text1"/>
        </w:rPr>
        <w:instrText xml:space="preserve"> ADDIN ZOTERO_ITEM CSL_CITATION {"citationID":"Dfui9p4A","properties":{"formattedCitation":"(2)","plainCitation":"(2)","noteIndex":0},"citationItems":[{"id":1201,"uris":["http://zotero.org/users/5812412/items/J3GJS3ES"],"itemData":{"id":1201,"type":"article-journal","container-title":"International Journal for Parasitology: Drugs and Drug Resistance","DOI":"10.1016/j.ijpddr.2017.03.003","ISSN":"22113207","issue":"2","journalAbbreviation":"International Journal for Parasitology: Drugs and Drug Resistance","language":"en","page":"181-190","source":"DOI.org (Crossref)","title":"The Vivax Surveyor: Online mapping database for Plasmodium vivax clinical trials","title-short":"The Vivax Surveyor","volume":"7","author":[{"family":"Commons","given":"R.J."},{"family":"Thriemer","given":"K."},{"family":"Humphreys","given":"G."},{"family":"Suay","given":"I."},{"family":"Sibley","given":"C.H."},{"family":"Guerin","given":"P.J."},{"family":"Price","given":"R.N."}],"issued":{"date-parts":[["2017",8]]}}}],"schema":"https://github.com/citation-style-language/schema/raw/master/csl-citation.json"} </w:instrText>
      </w:r>
      <w:r w:rsidR="00E2341E">
        <w:rPr>
          <w:rFonts w:cstheme="minorBidi"/>
          <w:color w:val="000000" w:themeColor="text1"/>
        </w:rPr>
        <w:fldChar w:fldCharType="separate"/>
      </w:r>
      <w:r w:rsidR="005E0647">
        <w:rPr>
          <w:rFonts w:cstheme="minorBidi"/>
          <w:noProof/>
          <w:color w:val="000000" w:themeColor="text1"/>
        </w:rPr>
        <w:t>(2)</w:t>
      </w:r>
      <w:r w:rsidR="00E2341E">
        <w:rPr>
          <w:rFonts w:cstheme="minorBidi"/>
          <w:color w:val="000000" w:themeColor="text1"/>
        </w:rPr>
        <w:fldChar w:fldCharType="end"/>
      </w:r>
      <w:r w:rsidR="005E0647">
        <w:rPr>
          <w:rFonts w:cstheme="minorBidi"/>
          <w:color w:val="000000" w:themeColor="text1"/>
        </w:rPr>
        <w:t>;</w:t>
      </w:r>
      <w:r w:rsidRPr="4AF9E47B">
        <w:rPr>
          <w:rFonts w:cstheme="minorBidi"/>
          <w:color w:val="000000" w:themeColor="text1"/>
        </w:rPr>
        <w:t xml:space="preserve"> to identify prospective, clinical efficacy studies of acute, uncomplicated vivax malaria published between 1 January</w:t>
      </w:r>
      <w:r w:rsidRPr="4AF9E47B" w:rsidR="009317B9">
        <w:rPr>
          <w:rFonts w:cstheme="minorBidi"/>
          <w:color w:val="000000" w:themeColor="text1"/>
        </w:rPr>
        <w:t xml:space="preserve"> 2000 and 29 September 2022 (inclusive) in any language with a minimum active follow-up </w:t>
      </w:r>
      <w:r w:rsidRPr="00AD584E" w:rsidR="009317B9">
        <w:rPr>
          <w:rFonts w:cstheme="minorBidi"/>
          <w:color w:val="000000" w:themeColor="text1"/>
        </w:rPr>
        <w:t>of 42 days</w:t>
      </w:r>
      <w:r w:rsidRPr="4AF9E47B" w:rsidR="009317B9">
        <w:rPr>
          <w:rFonts w:cstheme="minorBidi"/>
          <w:color w:val="000000" w:themeColor="text1"/>
        </w:rPr>
        <w:t xml:space="preserve"> that record methaemoglobin data following daily primaquine administration. Relevant data from unpublished studies will be obtained where </w:t>
      </w:r>
      <w:r w:rsidRPr="4AF9E47B" w:rsidR="00697CAA">
        <w:rPr>
          <w:rFonts w:cstheme="minorBidi"/>
          <w:color w:val="000000" w:themeColor="text1"/>
        </w:rPr>
        <w:t>possible</w:t>
      </w:r>
      <w:r w:rsidRPr="4AF9E47B" w:rsidR="009317B9">
        <w:rPr>
          <w:rFonts w:cstheme="minorBidi"/>
          <w:color w:val="000000" w:themeColor="text1"/>
        </w:rPr>
        <w:t>. Studies that fulfil the study criteria will be targeted through direct email to the corresponding author and/or principal investigator.</w:t>
      </w:r>
      <w:r w:rsidRPr="4AF9E47B" w:rsidR="009877B9">
        <w:rPr>
          <w:rFonts w:cstheme="minorBidi"/>
          <w:color w:val="000000" w:themeColor="text1"/>
        </w:rPr>
        <w:t xml:space="preserve"> </w:t>
      </w:r>
      <w:r w:rsidRPr="4AF9E47B" w:rsidR="00457F3C">
        <w:rPr>
          <w:rFonts w:cstheme="minorBidi"/>
          <w:color w:val="000000" w:themeColor="text1"/>
        </w:rPr>
        <w:t>Once data are uploaded into the WWARN repository, they will be curated and standardi</w:t>
      </w:r>
      <w:r w:rsidRPr="4AF9E47B" w:rsidR="00136CBE">
        <w:rPr>
          <w:rFonts w:cstheme="minorBidi"/>
          <w:color w:val="000000" w:themeColor="text1"/>
        </w:rPr>
        <w:t>s</w:t>
      </w:r>
      <w:r w:rsidRPr="4AF9E47B" w:rsidR="00457F3C">
        <w:rPr>
          <w:rFonts w:cstheme="minorBidi"/>
          <w:color w:val="000000" w:themeColor="text1"/>
        </w:rPr>
        <w:t xml:space="preserve">ed using the </w:t>
      </w:r>
      <w:r w:rsidRPr="00A70F07" w:rsidR="00457F3C">
        <w:rPr>
          <w:rFonts w:cstheme="minorBidi"/>
          <w:color w:val="000000" w:themeColor="text1"/>
        </w:rPr>
        <w:t>WWARN Data Management and Statistical Analysis Plans</w:t>
      </w:r>
      <w:r w:rsidRPr="00A70F07" w:rsidR="00A24F8C">
        <w:rPr>
          <w:rFonts w:cstheme="minorBidi"/>
          <w:color w:val="000000" w:themeColor="text1"/>
        </w:rPr>
        <w:t xml:space="preserve"> </w:t>
      </w:r>
      <w:r w:rsidRPr="00A70F07">
        <w:rPr>
          <w:rFonts w:cstheme="minorBidi"/>
          <w:color w:val="000000" w:themeColor="text1"/>
          <w:lang w:val="en-AU"/>
        </w:rPr>
        <w:fldChar w:fldCharType="begin"/>
      </w:r>
      <w:r w:rsidR="005E0647">
        <w:rPr>
          <w:rFonts w:cstheme="minorBidi"/>
          <w:color w:val="000000" w:themeColor="text1"/>
          <w:lang w:val="en-AU"/>
        </w:rPr>
        <w:instrText xml:space="preserve"> ADDIN ZOTERO_ITEM CSL_CITATION {"citationID":"bw7DIxDR","properties":{"formattedCitation":"(3)","plainCitation":"(3)","noteIndex":0},"citationItems":[{"id":1177,"uris":["http://zotero.org/users/5812412/items/NUK8DXBE"],"itemData":{"id":1177,"type":"document","title":"Clinical Module: Data Management and Statistical Analysis Plan – Version 1.2.","URL":"https://www.wwarn.org/sites/default/files/ClinicalDMSAP.pdf","author":[{"literal":"WorldWide Antimalarial Resistance Network (WWARN)"}],"issued":{"date-parts":[["2012"]]}}}],"schema":"https://github.com/citation-style-language/schema/raw/master/csl-citation.json"} </w:instrText>
      </w:r>
      <w:r w:rsidRPr="00A70F07">
        <w:rPr>
          <w:rFonts w:cstheme="minorBidi"/>
          <w:color w:val="000000" w:themeColor="text1"/>
          <w:lang w:val="en-AU"/>
        </w:rPr>
        <w:fldChar w:fldCharType="separate"/>
      </w:r>
      <w:r w:rsidR="005E0647">
        <w:rPr>
          <w:rFonts w:cstheme="minorBidi"/>
          <w:color w:val="000000" w:themeColor="text1"/>
        </w:rPr>
        <w:t>(3)</w:t>
      </w:r>
      <w:r w:rsidRPr="00A70F07">
        <w:rPr>
          <w:rFonts w:cstheme="minorBidi"/>
          <w:color w:val="000000" w:themeColor="text1"/>
          <w:lang w:val="en-AU"/>
        </w:rPr>
        <w:fldChar w:fldCharType="end"/>
      </w:r>
      <w:r w:rsidRPr="4AF9E47B" w:rsidR="00457F3C">
        <w:rPr>
          <w:rFonts w:cstheme="minorBidi"/>
          <w:color w:val="000000" w:themeColor="text1"/>
        </w:rPr>
        <w:t xml:space="preserve"> for clinical data and pooled into a single database of quality-assured individual patient data.</w:t>
      </w:r>
    </w:p>
    <w:p w:rsidRPr="003F41FF" w:rsidR="00457F3C" w:rsidP="7430369C" w:rsidRDefault="00457F3C" w14:paraId="1A58CE79" w14:textId="509FD5E5">
      <w:pPr>
        <w:pStyle w:val="Heading1"/>
        <w:rPr>
          <w:lang w:val="en-GB"/>
        </w:rPr>
      </w:pPr>
      <w:bookmarkStart w:name="_Toc457660144" w:id="16"/>
      <w:bookmarkStart w:name="_Toc84017832" w:id="17"/>
      <w:r w:rsidRPr="7430369C">
        <w:rPr>
          <w:lang w:val="en-GB"/>
        </w:rPr>
        <w:t>2. Outline of Statistical Analysis</w:t>
      </w:r>
      <w:bookmarkEnd w:id="16"/>
      <w:bookmarkEnd w:id="17"/>
      <w:r w:rsidRPr="7430369C">
        <w:rPr>
          <w:lang w:val="en-GB"/>
        </w:rPr>
        <w:t xml:space="preserve"> </w:t>
      </w:r>
    </w:p>
    <w:p w:rsidRPr="00F50CFC" w:rsidR="00457F3C" w:rsidP="4AF9E47B" w:rsidRDefault="00457F3C" w14:paraId="5BF5C4C2" w14:textId="20E65BC6">
      <w:pPr>
        <w:pStyle w:val="Heading2"/>
        <w:rPr>
          <w:rFonts w:asciiTheme="majorHAnsi" w:hAnsiTheme="majorHAnsi"/>
          <w:color w:val="2E74B5" w:themeColor="accent1" w:themeShade="BF"/>
          <w:sz w:val="26"/>
          <w:szCs w:val="26"/>
          <w:lang w:val="en-GB"/>
        </w:rPr>
      </w:pPr>
      <w:bookmarkStart w:name="_Toc457660145" w:id="18"/>
      <w:bookmarkStart w:name="_Toc84017833" w:id="19"/>
      <w:r w:rsidRPr="4AF9E47B">
        <w:rPr>
          <w:rStyle w:val="Strong"/>
          <w:rFonts w:asciiTheme="majorHAnsi" w:hAnsiTheme="majorHAnsi"/>
          <w:color w:val="2E74B5" w:themeColor="accent1" w:themeShade="BF"/>
          <w:sz w:val="26"/>
          <w:szCs w:val="26"/>
          <w:lang w:val="en-GB"/>
        </w:rPr>
        <w:t>2.1 Specific objective of the study</w:t>
      </w:r>
      <w:bookmarkEnd w:id="18"/>
      <w:bookmarkEnd w:id="19"/>
    </w:p>
    <w:p w:rsidR="00457F3C" w:rsidP="4AF9E47B" w:rsidRDefault="00F01264" w14:paraId="34C4FD27" w14:textId="758CC1FF">
      <w:r>
        <w:t>Whether the</w:t>
      </w:r>
      <w:r w:rsidRPr="7430369C" w:rsidR="007D36F4">
        <w:t xml:space="preserve"> 7-day methaemoglobin concentration </w:t>
      </w:r>
      <w:r>
        <w:t>is predictive of the</w:t>
      </w:r>
      <w:r w:rsidRPr="7430369C" w:rsidR="007D36F4">
        <w:t xml:space="preserve"> time to first</w:t>
      </w:r>
      <w:r w:rsidRPr="7430369C" w:rsidR="00DD48DF">
        <w:t xml:space="preserve"> </w:t>
      </w:r>
      <w:r w:rsidRPr="7430369C" w:rsidR="00DD48DF">
        <w:rPr>
          <w:i/>
          <w:iCs/>
        </w:rPr>
        <w:t>P. vivax</w:t>
      </w:r>
      <w:r w:rsidRPr="7430369C" w:rsidR="007D36F4">
        <w:t xml:space="preserve"> recurrence</w:t>
      </w:r>
      <w:r>
        <w:t>, stratified by primaquine dosing regimen.</w:t>
      </w:r>
    </w:p>
    <w:p w:rsidRPr="003F41FF" w:rsidR="00457F3C" w:rsidP="4AF9E47B" w:rsidRDefault="00457F3C" w14:paraId="04309385" w14:textId="6698D0FA">
      <w:pPr>
        <w:pStyle w:val="Heading2"/>
        <w:rPr>
          <w:rStyle w:val="Strong"/>
          <w:rFonts w:asciiTheme="majorHAnsi" w:hAnsiTheme="majorHAnsi"/>
          <w:color w:val="2E74B5" w:themeColor="accent1" w:themeShade="BF"/>
          <w:sz w:val="26"/>
          <w:szCs w:val="26"/>
          <w:lang w:val="en-GB"/>
        </w:rPr>
      </w:pPr>
      <w:bookmarkStart w:name="_Toc457660146" w:id="20"/>
      <w:bookmarkStart w:name="_Toc84017834" w:id="21"/>
      <w:r w:rsidRPr="4AF9E47B">
        <w:rPr>
          <w:rStyle w:val="Strong"/>
          <w:rFonts w:asciiTheme="majorHAnsi" w:hAnsiTheme="majorHAnsi"/>
          <w:color w:val="2E74B5" w:themeColor="accent1" w:themeShade="BF"/>
          <w:sz w:val="26"/>
          <w:szCs w:val="26"/>
          <w:lang w:val="en-GB"/>
        </w:rPr>
        <w:t xml:space="preserve">2.2 </w:t>
      </w:r>
      <w:r w:rsidR="00B94A6D">
        <w:rPr>
          <w:rStyle w:val="Strong"/>
          <w:rFonts w:asciiTheme="majorHAnsi" w:hAnsiTheme="majorHAnsi"/>
          <w:color w:val="2E74B5" w:themeColor="accent1" w:themeShade="BF"/>
          <w:sz w:val="26"/>
          <w:szCs w:val="26"/>
          <w:lang w:val="en-GB"/>
        </w:rPr>
        <w:t>Primary s</w:t>
      </w:r>
      <w:r w:rsidRPr="4AF9E47B">
        <w:rPr>
          <w:rStyle w:val="Strong"/>
          <w:rFonts w:asciiTheme="majorHAnsi" w:hAnsiTheme="majorHAnsi"/>
          <w:color w:val="2E74B5" w:themeColor="accent1" w:themeShade="BF"/>
          <w:sz w:val="26"/>
          <w:szCs w:val="26"/>
          <w:lang w:val="en-GB"/>
        </w:rPr>
        <w:t>tudy endpoint</w:t>
      </w:r>
      <w:bookmarkEnd w:id="20"/>
      <w:bookmarkEnd w:id="21"/>
    </w:p>
    <w:p w:rsidR="000B6EB9" w:rsidP="4AF9E47B" w:rsidRDefault="00497D76" w14:paraId="65AF8F21" w14:textId="503A47CF">
      <w:pPr>
        <w:pStyle w:val="Default"/>
        <w:spacing w:after="240" w:line="276" w:lineRule="auto"/>
        <w:rPr>
          <w:rFonts w:asciiTheme="minorHAnsi" w:hAnsiTheme="minorHAnsi"/>
          <w:color w:val="000000" w:themeColor="text1"/>
          <w:sz w:val="22"/>
          <w:szCs w:val="22"/>
        </w:rPr>
      </w:pPr>
      <w:r w:rsidRPr="7430369C">
        <w:rPr>
          <w:rFonts w:asciiTheme="minorHAnsi" w:hAnsiTheme="minorHAnsi"/>
          <w:color w:val="000000" w:themeColor="text1"/>
          <w:sz w:val="22"/>
          <w:szCs w:val="22"/>
        </w:rPr>
        <w:t>Time to f</w:t>
      </w:r>
      <w:r w:rsidRPr="00197FCA" w:rsidR="00533CAE">
        <w:rPr>
          <w:rFonts w:asciiTheme="minorHAnsi" w:hAnsiTheme="minorHAnsi"/>
          <w:color w:val="000000" w:themeColor="text1"/>
          <w:sz w:val="22"/>
          <w:szCs w:val="22"/>
        </w:rPr>
        <w:t>irst</w:t>
      </w:r>
      <w:r w:rsidRPr="7430369C" w:rsidR="00533CAE">
        <w:rPr>
          <w:rFonts w:asciiTheme="minorHAnsi" w:hAnsiTheme="minorHAnsi"/>
          <w:i/>
          <w:iCs/>
          <w:color w:val="000000" w:themeColor="text1"/>
          <w:sz w:val="22"/>
          <w:szCs w:val="22"/>
        </w:rPr>
        <w:t xml:space="preserve"> </w:t>
      </w:r>
      <w:r w:rsidRPr="7430369C" w:rsidR="00457F3C">
        <w:rPr>
          <w:rFonts w:asciiTheme="minorHAnsi" w:hAnsiTheme="minorHAnsi"/>
          <w:i/>
          <w:iCs/>
          <w:color w:val="000000" w:themeColor="text1"/>
          <w:sz w:val="22"/>
          <w:szCs w:val="22"/>
        </w:rPr>
        <w:t>P</w:t>
      </w:r>
      <w:r w:rsidRPr="7430369C" w:rsidR="00A00A85">
        <w:rPr>
          <w:rFonts w:asciiTheme="minorHAnsi" w:hAnsiTheme="minorHAnsi"/>
          <w:i/>
          <w:iCs/>
          <w:color w:val="000000" w:themeColor="text1"/>
          <w:sz w:val="22"/>
          <w:szCs w:val="22"/>
        </w:rPr>
        <w:t>lasmodium</w:t>
      </w:r>
      <w:r w:rsidRPr="7430369C" w:rsidR="00457F3C">
        <w:rPr>
          <w:rFonts w:asciiTheme="minorHAnsi" w:hAnsiTheme="minorHAnsi"/>
          <w:i/>
          <w:iCs/>
          <w:color w:val="000000" w:themeColor="text1"/>
          <w:sz w:val="22"/>
          <w:szCs w:val="22"/>
        </w:rPr>
        <w:t xml:space="preserve"> vivax </w:t>
      </w:r>
      <w:r w:rsidRPr="7430369C" w:rsidR="00457F3C">
        <w:rPr>
          <w:rFonts w:asciiTheme="minorHAnsi" w:hAnsiTheme="minorHAnsi"/>
          <w:color w:val="000000" w:themeColor="text1"/>
          <w:sz w:val="22"/>
          <w:szCs w:val="22"/>
        </w:rPr>
        <w:t xml:space="preserve">recurrence </w:t>
      </w:r>
      <w:r w:rsidRPr="7430369C" w:rsidR="006C750B">
        <w:rPr>
          <w:rFonts w:asciiTheme="minorHAnsi" w:hAnsiTheme="minorHAnsi"/>
          <w:color w:val="000000" w:themeColor="text1"/>
          <w:sz w:val="22"/>
          <w:szCs w:val="22"/>
        </w:rPr>
        <w:t>between day 7</w:t>
      </w:r>
      <w:r w:rsidRPr="7430369C" w:rsidR="00F85C49">
        <w:rPr>
          <w:rFonts w:asciiTheme="minorHAnsi" w:hAnsiTheme="minorHAnsi"/>
          <w:color w:val="000000" w:themeColor="text1"/>
          <w:sz w:val="22"/>
          <w:szCs w:val="22"/>
        </w:rPr>
        <w:t xml:space="preserve"> and</w:t>
      </w:r>
      <w:r w:rsidRPr="7430369C" w:rsidR="00457F3C">
        <w:rPr>
          <w:rFonts w:asciiTheme="minorHAnsi" w:hAnsiTheme="minorHAnsi"/>
          <w:color w:val="000000" w:themeColor="text1"/>
          <w:sz w:val="22"/>
          <w:szCs w:val="22"/>
        </w:rPr>
        <w:t xml:space="preserve"> day </w:t>
      </w:r>
      <w:r w:rsidRPr="7430369C" w:rsidR="00566650">
        <w:rPr>
          <w:rFonts w:asciiTheme="minorHAnsi" w:hAnsiTheme="minorHAnsi"/>
          <w:color w:val="000000" w:themeColor="text1"/>
          <w:sz w:val="22"/>
          <w:szCs w:val="22"/>
        </w:rPr>
        <w:t>120</w:t>
      </w:r>
      <w:r w:rsidRPr="7430369C" w:rsidR="00AC1DAA">
        <w:rPr>
          <w:rFonts w:asciiTheme="minorHAnsi" w:hAnsiTheme="minorHAnsi"/>
          <w:color w:val="000000" w:themeColor="text1"/>
          <w:sz w:val="22"/>
          <w:szCs w:val="22"/>
        </w:rPr>
        <w:t>.</w:t>
      </w:r>
    </w:p>
    <w:p w:rsidRPr="003F41FF" w:rsidR="00457F3C" w:rsidP="4AF9E47B" w:rsidRDefault="00457F3C" w14:paraId="743E3D37" w14:textId="79188DD2">
      <w:pPr>
        <w:pStyle w:val="Heading2"/>
        <w:rPr>
          <w:rFonts w:asciiTheme="majorHAnsi" w:hAnsiTheme="majorHAnsi"/>
          <w:color w:val="0070C0"/>
          <w:sz w:val="26"/>
          <w:szCs w:val="26"/>
          <w:lang w:val="en-GB"/>
        </w:rPr>
      </w:pPr>
      <w:bookmarkStart w:name="_Toc457660147" w:id="22"/>
      <w:bookmarkStart w:name="_Toc84017835" w:id="23"/>
      <w:r w:rsidRPr="4AF9E47B">
        <w:rPr>
          <w:rFonts w:asciiTheme="majorHAnsi" w:hAnsiTheme="majorHAnsi"/>
          <w:color w:val="0070C0"/>
          <w:sz w:val="26"/>
          <w:szCs w:val="26"/>
          <w:lang w:val="en-GB"/>
        </w:rPr>
        <w:t xml:space="preserve">2.3 Definition of </w:t>
      </w:r>
      <w:r w:rsidRPr="4AF9E47B" w:rsidR="001B55EC">
        <w:rPr>
          <w:rFonts w:asciiTheme="majorHAnsi" w:hAnsiTheme="majorHAnsi"/>
          <w:color w:val="0070C0"/>
          <w:sz w:val="26"/>
          <w:szCs w:val="26"/>
          <w:lang w:val="en-GB"/>
        </w:rPr>
        <w:t>e</w:t>
      </w:r>
      <w:r w:rsidRPr="4AF9E47B">
        <w:rPr>
          <w:rFonts w:asciiTheme="majorHAnsi" w:hAnsiTheme="majorHAnsi"/>
          <w:color w:val="0070C0"/>
          <w:sz w:val="26"/>
          <w:szCs w:val="26"/>
          <w:lang w:val="en-GB"/>
        </w:rPr>
        <w:t>ndpoint</w:t>
      </w:r>
      <w:bookmarkEnd w:id="22"/>
      <w:bookmarkEnd w:id="23"/>
    </w:p>
    <w:p w:rsidRPr="00632885" w:rsidR="0081255D" w:rsidP="4AF9E47B" w:rsidRDefault="00FC6BF0" w14:paraId="15B552D1" w14:textId="5839C5FF">
      <w:pPr>
        <w:rPr>
          <w:color w:val="000000" w:themeColor="text1"/>
        </w:rPr>
      </w:pPr>
      <w:r w:rsidRPr="7430369C">
        <w:rPr>
          <w:i/>
          <w:iCs/>
          <w:color w:val="000000" w:themeColor="text1"/>
        </w:rPr>
        <w:t>P</w:t>
      </w:r>
      <w:r w:rsidRPr="7430369C" w:rsidR="004D383D">
        <w:rPr>
          <w:i/>
          <w:iCs/>
          <w:color w:val="000000" w:themeColor="text1"/>
        </w:rPr>
        <w:t>lasmodium</w:t>
      </w:r>
      <w:r w:rsidRPr="7430369C">
        <w:rPr>
          <w:i/>
          <w:iCs/>
          <w:color w:val="000000" w:themeColor="text1"/>
        </w:rPr>
        <w:t xml:space="preserve"> vivax</w:t>
      </w:r>
      <w:r w:rsidRPr="7430369C">
        <w:rPr>
          <w:color w:val="000000" w:themeColor="text1"/>
        </w:rPr>
        <w:t xml:space="preserve"> recurrence is defined as </w:t>
      </w:r>
      <w:r w:rsidRPr="7430369C" w:rsidR="006E4691">
        <w:rPr>
          <w:color w:val="000000" w:themeColor="text1"/>
        </w:rPr>
        <w:t>an</w:t>
      </w:r>
      <w:r w:rsidRPr="7430369C" w:rsidR="0032105D">
        <w:rPr>
          <w:color w:val="000000" w:themeColor="text1"/>
        </w:rPr>
        <w:t>y</w:t>
      </w:r>
      <w:r w:rsidRPr="7430369C" w:rsidR="006E4691">
        <w:rPr>
          <w:color w:val="000000" w:themeColor="text1"/>
        </w:rPr>
        <w:t xml:space="preserve"> </w:t>
      </w:r>
      <w:r w:rsidRPr="7430369C" w:rsidR="00820E18">
        <w:rPr>
          <w:color w:val="000000" w:themeColor="text1"/>
        </w:rPr>
        <w:t>episode</w:t>
      </w:r>
      <w:r w:rsidRPr="7430369C">
        <w:rPr>
          <w:i/>
          <w:iCs/>
          <w:color w:val="000000" w:themeColor="text1"/>
        </w:rPr>
        <w:t xml:space="preserve"> </w:t>
      </w:r>
      <w:r w:rsidRPr="7430369C">
        <w:rPr>
          <w:color w:val="000000" w:themeColor="text1"/>
        </w:rPr>
        <w:t xml:space="preserve">of </w:t>
      </w:r>
      <w:r w:rsidRPr="7430369C">
        <w:rPr>
          <w:i/>
          <w:iCs/>
          <w:color w:val="000000" w:themeColor="text1"/>
        </w:rPr>
        <w:t>P. vivax</w:t>
      </w:r>
      <w:r w:rsidRPr="7430369C" w:rsidR="006C750B">
        <w:rPr>
          <w:color w:val="000000" w:themeColor="text1"/>
        </w:rPr>
        <w:t xml:space="preserve"> parasitaemia</w:t>
      </w:r>
      <w:r w:rsidRPr="7430369C" w:rsidR="003E492C">
        <w:rPr>
          <w:color w:val="000000" w:themeColor="text1"/>
        </w:rPr>
        <w:t>, irrespective of symptoms,</w:t>
      </w:r>
      <w:r w:rsidRPr="7430369C" w:rsidR="006C750B">
        <w:rPr>
          <w:color w:val="000000" w:themeColor="text1"/>
        </w:rPr>
        <w:t xml:space="preserve"> between day 7</w:t>
      </w:r>
      <w:r w:rsidRPr="7430369C">
        <w:rPr>
          <w:color w:val="000000" w:themeColor="text1"/>
        </w:rPr>
        <w:t xml:space="preserve"> and </w:t>
      </w:r>
      <w:r w:rsidRPr="7430369C" w:rsidR="00425BC9">
        <w:rPr>
          <w:color w:val="000000" w:themeColor="text1"/>
        </w:rPr>
        <w:t>day 120 after</w:t>
      </w:r>
      <w:r w:rsidR="00FE3801">
        <w:rPr>
          <w:color w:val="000000" w:themeColor="text1"/>
        </w:rPr>
        <w:t xml:space="preserve"> the </w:t>
      </w:r>
      <w:r w:rsidRPr="7430369C" w:rsidR="00425BC9">
        <w:rPr>
          <w:color w:val="000000" w:themeColor="text1"/>
        </w:rPr>
        <w:t>initial</w:t>
      </w:r>
      <w:r w:rsidRPr="7430369C" w:rsidR="00DC5913">
        <w:rPr>
          <w:color w:val="000000" w:themeColor="text1"/>
        </w:rPr>
        <w:t xml:space="preserve"> </w:t>
      </w:r>
      <w:r w:rsidRPr="7430369C" w:rsidR="00425BC9">
        <w:rPr>
          <w:color w:val="000000" w:themeColor="text1"/>
        </w:rPr>
        <w:t>primaquine administration</w:t>
      </w:r>
      <w:r w:rsidRPr="7430369C" w:rsidR="007461AA">
        <w:rPr>
          <w:color w:val="000000" w:themeColor="text1"/>
        </w:rPr>
        <w:t>.</w:t>
      </w:r>
    </w:p>
    <w:p w:rsidR="7B9D8A22" w:rsidP="7430369C" w:rsidRDefault="7B9D8A22" w14:paraId="75EA61F2" w14:textId="3F63BBDD">
      <w:pPr>
        <w:pStyle w:val="Heading2"/>
        <w:rPr>
          <w:rFonts w:asciiTheme="majorHAnsi" w:hAnsiTheme="majorHAnsi"/>
          <w:color w:val="0070C0"/>
          <w:sz w:val="26"/>
          <w:szCs w:val="26"/>
          <w:lang w:val="en-GB"/>
        </w:rPr>
      </w:pPr>
      <w:r w:rsidRPr="7430369C">
        <w:rPr>
          <w:rFonts w:asciiTheme="majorHAnsi" w:hAnsiTheme="majorHAnsi"/>
          <w:color w:val="0070C0"/>
          <w:sz w:val="26"/>
          <w:szCs w:val="26"/>
          <w:lang w:val="en-GB"/>
        </w:rPr>
        <w:t>2.4 Definition of time zero</w:t>
      </w:r>
    </w:p>
    <w:p w:rsidR="0791A567" w:rsidP="7430369C" w:rsidRDefault="0791A567" w14:paraId="6D71B78C" w14:textId="1753EE87">
      <w:pPr>
        <w:rPr>
          <w:color w:val="000000" w:themeColor="text1"/>
        </w:rPr>
      </w:pPr>
      <w:r w:rsidRPr="7430369C">
        <w:rPr>
          <w:color w:val="000000" w:themeColor="text1"/>
        </w:rPr>
        <w:t>Time zero is defined as the time when primaquine treatment is ini</w:t>
      </w:r>
      <w:r w:rsidRPr="7430369C" w:rsidR="08006E11">
        <w:rPr>
          <w:color w:val="000000" w:themeColor="text1"/>
        </w:rPr>
        <w:t>tiated.</w:t>
      </w:r>
    </w:p>
    <w:p w:rsidRPr="003F41FF" w:rsidR="00457F3C" w:rsidP="4AF9E47B" w:rsidRDefault="00457F3C" w14:paraId="0146F29B" w14:textId="148A6F9F">
      <w:pPr>
        <w:pStyle w:val="Heading2"/>
        <w:rPr>
          <w:rStyle w:val="Strong"/>
          <w:rFonts w:asciiTheme="majorHAnsi" w:hAnsiTheme="majorHAnsi"/>
          <w:color w:val="2E74B5" w:themeColor="accent1" w:themeShade="BF"/>
          <w:sz w:val="26"/>
          <w:szCs w:val="26"/>
          <w:lang w:val="en-GB"/>
        </w:rPr>
      </w:pPr>
      <w:bookmarkStart w:name="_Toc385920014" w:id="24"/>
      <w:bookmarkStart w:name="_Toc457660148" w:id="25"/>
      <w:bookmarkStart w:name="_Toc84017836" w:id="26"/>
      <w:r w:rsidRPr="7430369C">
        <w:rPr>
          <w:rStyle w:val="Strong"/>
          <w:rFonts w:asciiTheme="majorHAnsi" w:hAnsiTheme="majorHAnsi"/>
          <w:color w:val="2E74B5" w:themeColor="accent1" w:themeShade="BF"/>
          <w:sz w:val="26"/>
          <w:szCs w:val="26"/>
          <w:lang w:val="en-GB"/>
        </w:rPr>
        <w:t>2.</w:t>
      </w:r>
      <w:r w:rsidRPr="7430369C" w:rsidR="52BEFB28">
        <w:rPr>
          <w:rStyle w:val="Strong"/>
          <w:rFonts w:asciiTheme="majorHAnsi" w:hAnsiTheme="majorHAnsi"/>
          <w:color w:val="2E74B5" w:themeColor="accent1" w:themeShade="BF"/>
          <w:sz w:val="26"/>
          <w:szCs w:val="26"/>
          <w:lang w:val="en-GB"/>
        </w:rPr>
        <w:t>5</w:t>
      </w:r>
      <w:r w:rsidRPr="7430369C">
        <w:rPr>
          <w:rStyle w:val="Strong"/>
          <w:rFonts w:asciiTheme="majorHAnsi" w:hAnsiTheme="majorHAnsi"/>
          <w:color w:val="2E74B5" w:themeColor="accent1" w:themeShade="BF"/>
          <w:sz w:val="26"/>
          <w:szCs w:val="26"/>
          <w:lang w:val="en-GB"/>
        </w:rPr>
        <w:t xml:space="preserve"> Study and patient characteristics</w:t>
      </w:r>
      <w:bookmarkEnd w:id="24"/>
      <w:bookmarkEnd w:id="25"/>
      <w:bookmarkEnd w:id="26"/>
    </w:p>
    <w:p w:rsidRPr="003F41FF" w:rsidR="00457F3C" w:rsidP="4AF9E47B" w:rsidRDefault="00457F3C" w14:paraId="19D5E007" w14:textId="77777777">
      <w:pPr>
        <w:pStyle w:val="Default"/>
        <w:spacing w:after="240" w:line="276" w:lineRule="auto"/>
        <w:rPr>
          <w:rFonts w:asciiTheme="minorHAnsi" w:hAnsiTheme="minorHAnsi"/>
          <w:color w:val="000000" w:themeColor="text1"/>
          <w:sz w:val="22"/>
          <w:szCs w:val="22"/>
        </w:rPr>
      </w:pPr>
      <w:r w:rsidRPr="4AF9E47B">
        <w:rPr>
          <w:rFonts w:asciiTheme="minorHAnsi" w:hAnsiTheme="minorHAnsi"/>
          <w:color w:val="000000" w:themeColor="text1"/>
          <w:sz w:val="22"/>
          <w:szCs w:val="22"/>
        </w:rPr>
        <w:t>The following baseline characteristics will be examined:</w:t>
      </w:r>
    </w:p>
    <w:p w:rsidR="00457F3C" w:rsidP="4AF9E47B" w:rsidRDefault="00457F3C" w14:paraId="3D003D78" w14:textId="742A4B1B">
      <w:pPr>
        <w:jc w:val="both"/>
        <w:rPr>
          <w:rFonts w:cstheme="minorBidi"/>
          <w:color w:val="000000" w:themeColor="text1"/>
        </w:rPr>
      </w:pPr>
      <w:r w:rsidRPr="4AF9E47B">
        <w:rPr>
          <w:rFonts w:cstheme="minorBidi"/>
          <w:b/>
          <w:bCs/>
          <w:color w:val="000000" w:themeColor="text1"/>
        </w:rPr>
        <w:t>Site</w:t>
      </w:r>
      <w:r w:rsidRPr="4AF9E47B">
        <w:rPr>
          <w:rFonts w:cstheme="minorBidi"/>
          <w:color w:val="000000" w:themeColor="text1"/>
        </w:rPr>
        <w:t xml:space="preserve">: </w:t>
      </w:r>
      <w:r w:rsidRPr="4AF9E47B" w:rsidR="00AE376B">
        <w:rPr>
          <w:rFonts w:cstheme="minorBidi"/>
          <w:color w:val="000000" w:themeColor="text1"/>
        </w:rPr>
        <w:t>geographical location (region and country)</w:t>
      </w:r>
      <w:r w:rsidRPr="4AF9E47B" w:rsidR="00103807">
        <w:rPr>
          <w:rFonts w:cstheme="minorBidi"/>
          <w:color w:val="000000" w:themeColor="text1"/>
        </w:rPr>
        <w:t>, transmission intensity, regional relapse periodicity</w:t>
      </w:r>
      <w:r w:rsidRPr="4AF9E47B" w:rsidR="00F2081A">
        <w:rPr>
          <w:rFonts w:cstheme="minorBidi"/>
          <w:color w:val="000000" w:themeColor="text1"/>
        </w:rPr>
        <w:t>.</w:t>
      </w:r>
    </w:p>
    <w:p w:rsidR="00F2081A" w:rsidP="4AF9E47B" w:rsidRDefault="00F2081A" w14:paraId="15903941" w14:textId="278E951D">
      <w:pPr>
        <w:jc w:val="both"/>
        <w:rPr>
          <w:rFonts w:cstheme="minorBidi"/>
          <w:color w:val="000000" w:themeColor="text1"/>
        </w:rPr>
      </w:pPr>
      <w:r w:rsidRPr="4AF9E47B">
        <w:rPr>
          <w:rFonts w:cstheme="minorBidi"/>
          <w:b/>
          <w:bCs/>
          <w:color w:val="000000" w:themeColor="text1"/>
        </w:rPr>
        <w:t>Patient</w:t>
      </w:r>
      <w:r w:rsidRPr="4AF9E47B">
        <w:rPr>
          <w:rFonts w:cstheme="minorBidi"/>
          <w:color w:val="000000" w:themeColor="text1"/>
        </w:rPr>
        <w:t xml:space="preserve">: age, sex, weight, height, </w:t>
      </w:r>
      <w:r w:rsidR="000A4D73">
        <w:rPr>
          <w:rFonts w:cstheme="minorBidi"/>
          <w:color w:val="000000" w:themeColor="text1"/>
        </w:rPr>
        <w:t>h</w:t>
      </w:r>
      <w:r w:rsidRPr="4AF9E47B" w:rsidR="00D760A9">
        <w:rPr>
          <w:rFonts w:cstheme="minorBidi"/>
          <w:color w:val="000000" w:themeColor="text1"/>
        </w:rPr>
        <w:t>istory of fever (≥37.5</w:t>
      </w:r>
      <w:r w:rsidRPr="4AF9E47B" w:rsidR="00D760A9">
        <w:rPr>
          <w:rFonts w:eastAsia="Symbol" w:cs="Symbol"/>
        </w:rPr>
        <w:t>°</w:t>
      </w:r>
      <w:r w:rsidRPr="4AF9E47B" w:rsidR="00D760A9">
        <w:t>C axillary</w:t>
      </w:r>
      <w:r w:rsidRPr="4AF9E47B" w:rsidR="00605380">
        <w:t xml:space="preserve">) </w:t>
      </w:r>
      <w:r w:rsidRPr="4AF9E47B" w:rsidR="00605380">
        <w:rPr>
          <w:rFonts w:cstheme="minorBidi"/>
          <w:color w:val="000000" w:themeColor="text1"/>
        </w:rPr>
        <w:t>in</w:t>
      </w:r>
      <w:r w:rsidRPr="4AF9E47B" w:rsidR="00D760A9">
        <w:rPr>
          <w:rFonts w:cstheme="minorBidi"/>
          <w:color w:val="000000" w:themeColor="text1"/>
        </w:rPr>
        <w:t xml:space="preserve"> the last 24 hours</w:t>
      </w:r>
      <w:r w:rsidRPr="4AF9E47B" w:rsidR="00605380">
        <w:rPr>
          <w:rFonts w:cstheme="minorBidi"/>
          <w:color w:val="000000" w:themeColor="text1"/>
        </w:rPr>
        <w:t>.</w:t>
      </w:r>
    </w:p>
    <w:p w:rsidR="00F2081A" w:rsidP="4AF9E47B" w:rsidRDefault="00F2081A" w14:paraId="3E91891F" w14:textId="188AE8C3">
      <w:pPr>
        <w:jc w:val="both"/>
        <w:rPr>
          <w:rFonts w:cstheme="minorBidi"/>
          <w:color w:val="000000" w:themeColor="text1"/>
        </w:rPr>
      </w:pPr>
      <w:r w:rsidRPr="4AF9E47B">
        <w:rPr>
          <w:rFonts w:cstheme="minorBidi"/>
          <w:b/>
          <w:bCs/>
          <w:color w:val="000000" w:themeColor="text1"/>
        </w:rPr>
        <w:t>Drug</w:t>
      </w:r>
      <w:r w:rsidRPr="4AF9E47B">
        <w:rPr>
          <w:rFonts w:cstheme="minorBidi"/>
          <w:color w:val="000000" w:themeColor="text1"/>
        </w:rPr>
        <w:t xml:space="preserve">: schizontocidal treatment and its mg/kg dose, primaquine use (start day, duration, mg/kg dose), supervision of drug administration, association with food intake, </w:t>
      </w:r>
      <w:r w:rsidRPr="4AF9E47B" w:rsidR="00D760A9">
        <w:rPr>
          <w:rFonts w:cstheme="minorBidi"/>
          <w:color w:val="000000" w:themeColor="text1"/>
        </w:rPr>
        <w:t>early (within 1 hour) vomiting post-drug administration</w:t>
      </w:r>
    </w:p>
    <w:p w:rsidRPr="00F2081A" w:rsidR="00F2081A" w:rsidP="4AF9E47B" w:rsidRDefault="00F2081A" w14:paraId="159BA85A" w14:textId="02702B2B">
      <w:pPr>
        <w:jc w:val="both"/>
        <w:rPr>
          <w:rFonts w:cstheme="minorBidi"/>
          <w:color w:val="000000" w:themeColor="text1"/>
        </w:rPr>
      </w:pPr>
      <w:r w:rsidRPr="4AF9E47B">
        <w:rPr>
          <w:rFonts w:cstheme="minorBidi"/>
          <w:b/>
          <w:bCs/>
          <w:color w:val="000000" w:themeColor="text1"/>
        </w:rPr>
        <w:t>Laboratory</w:t>
      </w:r>
      <w:r w:rsidRPr="4AF9E47B">
        <w:rPr>
          <w:rFonts w:cstheme="minorBidi"/>
          <w:color w:val="000000" w:themeColor="text1"/>
        </w:rPr>
        <w:t>: methaemoglobin</w:t>
      </w:r>
      <w:r w:rsidRPr="4AF9E47B" w:rsidR="00605380">
        <w:rPr>
          <w:rFonts w:cstheme="minorBidi"/>
          <w:color w:val="000000" w:themeColor="text1"/>
        </w:rPr>
        <w:t xml:space="preserve"> concentration</w:t>
      </w:r>
      <w:r w:rsidRPr="4AF9E47B">
        <w:rPr>
          <w:rFonts w:cstheme="minorBidi"/>
          <w:color w:val="000000" w:themeColor="text1"/>
        </w:rPr>
        <w:t>, haemoglobin</w:t>
      </w:r>
      <w:r w:rsidRPr="4AF9E47B" w:rsidR="00605380">
        <w:rPr>
          <w:rFonts w:cstheme="minorBidi"/>
          <w:color w:val="000000" w:themeColor="text1"/>
        </w:rPr>
        <w:t xml:space="preserve"> concentration</w:t>
      </w:r>
      <w:r w:rsidRPr="4AF9E47B">
        <w:rPr>
          <w:rFonts w:cstheme="minorBidi"/>
          <w:color w:val="000000" w:themeColor="text1"/>
        </w:rPr>
        <w:t>, haematocrit, G6PD</w:t>
      </w:r>
      <w:r w:rsidRPr="4AF9E47B" w:rsidR="00605380">
        <w:rPr>
          <w:rFonts w:cstheme="minorBidi"/>
          <w:color w:val="000000" w:themeColor="text1"/>
        </w:rPr>
        <w:t xml:space="preserve"> </w:t>
      </w:r>
      <w:r w:rsidR="002F2C9A">
        <w:rPr>
          <w:rFonts w:cstheme="minorBidi"/>
          <w:color w:val="000000" w:themeColor="text1"/>
        </w:rPr>
        <w:t xml:space="preserve">qualitative </w:t>
      </w:r>
      <w:r w:rsidRPr="4AF9E47B" w:rsidR="00605380">
        <w:rPr>
          <w:rFonts w:cstheme="minorBidi"/>
          <w:color w:val="000000" w:themeColor="text1"/>
        </w:rPr>
        <w:t>status</w:t>
      </w:r>
      <w:r w:rsidRPr="4AF9E47B">
        <w:rPr>
          <w:rFonts w:cstheme="minorBidi"/>
          <w:color w:val="000000" w:themeColor="text1"/>
        </w:rPr>
        <w:t>, CYP2D6</w:t>
      </w:r>
      <w:r w:rsidRPr="4AF9E47B" w:rsidR="00605380">
        <w:rPr>
          <w:rFonts w:cstheme="minorBidi"/>
          <w:color w:val="000000" w:themeColor="text1"/>
        </w:rPr>
        <w:t xml:space="preserve"> status, primaquine/metabolites drug concentration, schizontocidal drug concentration</w:t>
      </w:r>
      <w:r w:rsidR="00454D4E">
        <w:rPr>
          <w:rFonts w:cstheme="minorBidi"/>
          <w:color w:val="000000" w:themeColor="text1"/>
        </w:rPr>
        <w:t>, parasite density</w:t>
      </w:r>
    </w:p>
    <w:p w:rsidRPr="009B12AA" w:rsidR="009B12AA" w:rsidP="4AF9E47B" w:rsidRDefault="00457F3C" w14:paraId="0D7F2565" w14:textId="6B483050">
      <w:pPr>
        <w:jc w:val="both"/>
      </w:pPr>
      <w:r w:rsidRPr="4AF9E47B">
        <w:t>Children will be considered as age</w:t>
      </w:r>
      <w:r w:rsidRPr="4AF9E47B" w:rsidR="00F47E25">
        <w:t>d</w:t>
      </w:r>
      <w:r w:rsidRPr="4AF9E47B" w:rsidR="006C750B">
        <w:t xml:space="preserve"> &lt;15</w:t>
      </w:r>
      <w:r w:rsidRPr="4AF9E47B">
        <w:t xml:space="preserve"> years with childhood stratified into </w:t>
      </w:r>
      <w:r w:rsidRPr="4AF9E47B" w:rsidR="00304F00">
        <w:t xml:space="preserve">patients </w:t>
      </w:r>
      <w:r w:rsidRPr="4AF9E47B" w:rsidR="006C750B">
        <w:t>&lt;5 years and</w:t>
      </w:r>
      <w:r w:rsidRPr="4AF9E47B">
        <w:t xml:space="preserve"> </w:t>
      </w:r>
      <w:r w:rsidRPr="4AF9E47B" w:rsidR="00304F00">
        <w:t xml:space="preserve">those </w:t>
      </w:r>
      <w:r w:rsidRPr="4AF9E47B">
        <w:t xml:space="preserve">5 to </w:t>
      </w:r>
      <w:r w:rsidRPr="4AF9E47B" w:rsidR="006C750B">
        <w:t>&lt;15</w:t>
      </w:r>
      <w:r w:rsidRPr="4AF9E47B">
        <w:t xml:space="preserve"> years</w:t>
      </w:r>
      <w:r w:rsidRPr="4AF9E47B" w:rsidR="00533CAE">
        <w:t xml:space="preserve"> if appropriate</w:t>
      </w:r>
      <w:r w:rsidRPr="4AF9E47B">
        <w:t>.</w:t>
      </w:r>
    </w:p>
    <w:p w:rsidR="00AE376B" w:rsidP="4AF9E47B" w:rsidRDefault="00AE376B" w14:paraId="2BB4D317" w14:textId="3D31B3B7">
      <w:pPr>
        <w:jc w:val="both"/>
        <w:rPr>
          <w:color w:val="000000" w:themeColor="text1"/>
        </w:rPr>
      </w:pPr>
      <w:r w:rsidRPr="4AF9E47B">
        <w:rPr>
          <w:color w:val="000000" w:themeColor="text1"/>
        </w:rPr>
        <w:t>Schizontocidal t</w:t>
      </w:r>
      <w:r w:rsidRPr="4AF9E47B" w:rsidR="00457F3C">
        <w:rPr>
          <w:color w:val="000000" w:themeColor="text1"/>
        </w:rPr>
        <w:t xml:space="preserve">reatment will be classified as supervised if all doses were directly observed, partially supervised if at least the morning doses </w:t>
      </w:r>
      <w:r w:rsidRPr="009F6F39" w:rsidR="0096603A">
        <w:rPr>
          <w:color w:val="000000" w:themeColor="text1"/>
        </w:rPr>
        <w:t xml:space="preserve">of a </w:t>
      </w:r>
      <w:r w:rsidRPr="009F6F39" w:rsidR="00533CAE">
        <w:rPr>
          <w:color w:val="000000" w:themeColor="text1"/>
        </w:rPr>
        <w:t xml:space="preserve">twice daily </w:t>
      </w:r>
      <w:r w:rsidRPr="009F6F39" w:rsidR="0096603A">
        <w:rPr>
          <w:color w:val="000000" w:themeColor="text1"/>
        </w:rPr>
        <w:t>regimen</w:t>
      </w:r>
      <w:r w:rsidRPr="4AF9E47B" w:rsidR="0096603A">
        <w:rPr>
          <w:color w:val="000000" w:themeColor="text1"/>
        </w:rPr>
        <w:t xml:space="preserve"> </w:t>
      </w:r>
      <w:r w:rsidRPr="4AF9E47B" w:rsidR="00533CAE">
        <w:rPr>
          <w:color w:val="000000" w:themeColor="text1"/>
        </w:rPr>
        <w:t xml:space="preserve">was </w:t>
      </w:r>
      <w:r w:rsidRPr="4AF9E47B" w:rsidR="00457F3C">
        <w:rPr>
          <w:color w:val="000000" w:themeColor="text1"/>
        </w:rPr>
        <w:t xml:space="preserve">observed, and </w:t>
      </w:r>
      <w:proofErr w:type="gramStart"/>
      <w:r w:rsidRPr="4AF9E47B" w:rsidR="009F6F39">
        <w:rPr>
          <w:color w:val="000000" w:themeColor="text1"/>
        </w:rPr>
        <w:t>not</w:t>
      </w:r>
      <w:r w:rsidR="009F6F39">
        <w:rPr>
          <w:color w:val="000000" w:themeColor="text1"/>
        </w:rPr>
        <w:t>-</w:t>
      </w:r>
      <w:r w:rsidRPr="4AF9E47B" w:rsidR="009F6F39">
        <w:rPr>
          <w:color w:val="000000" w:themeColor="text1"/>
        </w:rPr>
        <w:t>supervised</w:t>
      </w:r>
      <w:proofErr w:type="gramEnd"/>
      <w:r w:rsidRPr="4AF9E47B" w:rsidR="00457F3C">
        <w:rPr>
          <w:color w:val="000000" w:themeColor="text1"/>
        </w:rPr>
        <w:t xml:space="preserve"> if fewer doses were observed.</w:t>
      </w:r>
    </w:p>
    <w:p w:rsidR="00B622DA" w:rsidP="4AF9E47B" w:rsidRDefault="00AE376B" w14:paraId="63F89C75" w14:textId="77777777">
      <w:pPr>
        <w:spacing w:after="0"/>
        <w:jc w:val="both"/>
        <w:rPr>
          <w:color w:val="000000" w:themeColor="text1"/>
        </w:rPr>
      </w:pPr>
      <w:r w:rsidRPr="4AF9E47B">
        <w:rPr>
          <w:color w:val="000000" w:themeColor="text1"/>
        </w:rPr>
        <w:t xml:space="preserve">Primaquine treatment </w:t>
      </w:r>
      <w:r w:rsidRPr="4AF9E47B" w:rsidR="00B622DA">
        <w:rPr>
          <w:color w:val="000000" w:themeColor="text1"/>
        </w:rPr>
        <w:t xml:space="preserve">supervision </w:t>
      </w:r>
      <w:r w:rsidRPr="4AF9E47B">
        <w:rPr>
          <w:color w:val="000000" w:themeColor="text1"/>
        </w:rPr>
        <w:t>will be classified as</w:t>
      </w:r>
      <w:r w:rsidRPr="4AF9E47B" w:rsidR="00B622DA">
        <w:rPr>
          <w:color w:val="000000" w:themeColor="text1"/>
        </w:rPr>
        <w:t>:</w:t>
      </w:r>
    </w:p>
    <w:p w:rsidRPr="00085399" w:rsidR="00B622DA" w:rsidP="007B683C" w:rsidRDefault="00B622DA" w14:paraId="47BCDF52" w14:textId="7FA8F0CF">
      <w:pPr>
        <w:pStyle w:val="ListParagraph"/>
        <w:numPr>
          <w:ilvl w:val="0"/>
          <w:numId w:val="7"/>
        </w:numPr>
        <w:ind w:left="284" w:hanging="284"/>
        <w:rPr>
          <w:color w:val="000000" w:themeColor="text1"/>
          <w:lang w:val="en-GB"/>
        </w:rPr>
      </w:pPr>
      <w:r w:rsidRPr="4AF9E47B">
        <w:rPr>
          <w:color w:val="000000" w:themeColor="text1"/>
          <w:u w:val="single"/>
          <w:lang w:val="en-GB"/>
        </w:rPr>
        <w:t>Supervised</w:t>
      </w:r>
      <w:r w:rsidRPr="4AF9E47B">
        <w:rPr>
          <w:color w:val="000000" w:themeColor="text1"/>
          <w:lang w:val="en-GB"/>
        </w:rPr>
        <w:t xml:space="preserve"> if all doses were directly </w:t>
      </w:r>
      <w:r w:rsidRPr="4AF9E47B" w:rsidR="00887E1C">
        <w:rPr>
          <w:color w:val="000000" w:themeColor="text1"/>
          <w:lang w:val="en-GB"/>
        </w:rPr>
        <w:t>observed.</w:t>
      </w:r>
    </w:p>
    <w:p w:rsidRPr="00085399" w:rsidR="00B622DA" w:rsidP="007B683C" w:rsidRDefault="00B622DA" w14:paraId="33D03278" w14:textId="2EA42C3C">
      <w:pPr>
        <w:pStyle w:val="ListParagraph"/>
        <w:numPr>
          <w:ilvl w:val="0"/>
          <w:numId w:val="7"/>
        </w:numPr>
        <w:ind w:left="284" w:hanging="284"/>
        <w:rPr>
          <w:color w:val="000000" w:themeColor="text1"/>
          <w:lang w:val="en-GB"/>
        </w:rPr>
      </w:pPr>
      <w:r w:rsidRPr="4AF9E47B">
        <w:rPr>
          <w:color w:val="000000" w:themeColor="text1"/>
          <w:u w:val="single"/>
          <w:lang w:val="en-GB"/>
        </w:rPr>
        <w:t>Partially supervised</w:t>
      </w:r>
      <w:r w:rsidRPr="4AF9E47B">
        <w:rPr>
          <w:color w:val="000000" w:themeColor="text1"/>
          <w:lang w:val="en-GB"/>
        </w:rPr>
        <w:t xml:space="preserve"> if </w:t>
      </w:r>
      <w:r w:rsidRPr="4AF9E47B" w:rsidR="00225509">
        <w:rPr>
          <w:lang w:val="en-GB"/>
        </w:rPr>
        <w:t>&gt;</w:t>
      </w:r>
      <w:r w:rsidRPr="4AF9E47B" w:rsidR="00225509">
        <w:rPr>
          <w:color w:val="000000" w:themeColor="text1"/>
          <w:lang w:val="en-GB"/>
        </w:rPr>
        <w:t>1</w:t>
      </w:r>
      <w:r w:rsidR="008968F9">
        <w:rPr>
          <w:color w:val="000000" w:themeColor="text1"/>
          <w:lang w:val="en-GB"/>
        </w:rPr>
        <w:t>, but not all,</w:t>
      </w:r>
      <w:r w:rsidRPr="4AF9E47B">
        <w:rPr>
          <w:color w:val="000000" w:themeColor="text1"/>
          <w:lang w:val="en-GB"/>
        </w:rPr>
        <w:t xml:space="preserve"> dose</w:t>
      </w:r>
      <w:r w:rsidR="008968F9">
        <w:rPr>
          <w:color w:val="000000" w:themeColor="text1"/>
          <w:lang w:val="en-GB"/>
        </w:rPr>
        <w:t>s</w:t>
      </w:r>
      <w:r w:rsidRPr="4AF9E47B">
        <w:rPr>
          <w:color w:val="000000" w:themeColor="text1"/>
          <w:lang w:val="en-GB"/>
        </w:rPr>
        <w:t xml:space="preserve"> were observed</w:t>
      </w:r>
      <w:r w:rsidR="008968F9">
        <w:rPr>
          <w:color w:val="000000" w:themeColor="text1"/>
          <w:lang w:val="en-GB"/>
        </w:rPr>
        <w:t>.</w:t>
      </w:r>
    </w:p>
    <w:p w:rsidRPr="00B622DA" w:rsidR="00B622DA" w:rsidP="007B683C" w:rsidRDefault="00B622DA" w14:paraId="53928FF3" w14:textId="7210E2C3">
      <w:pPr>
        <w:pStyle w:val="ListParagraph"/>
        <w:numPr>
          <w:ilvl w:val="0"/>
          <w:numId w:val="7"/>
        </w:numPr>
        <w:ind w:left="284" w:hanging="284"/>
        <w:rPr>
          <w:i/>
          <w:iCs/>
          <w:lang w:val="en-GB"/>
        </w:rPr>
      </w:pPr>
      <w:r w:rsidRPr="4AF9E47B">
        <w:rPr>
          <w:color w:val="000000" w:themeColor="text1"/>
          <w:u w:val="single"/>
          <w:lang w:val="en-GB"/>
        </w:rPr>
        <w:t>Unsupervised</w:t>
      </w:r>
      <w:r w:rsidRPr="4AF9E47B">
        <w:rPr>
          <w:color w:val="000000" w:themeColor="text1"/>
          <w:lang w:val="en-GB"/>
        </w:rPr>
        <w:t xml:space="preserve"> if </w:t>
      </w:r>
      <w:r w:rsidRPr="4AF9E47B" w:rsidR="00225509">
        <w:rPr>
          <w:rFonts w:cs="Calibri"/>
          <w:lang w:val="en-GB"/>
        </w:rPr>
        <w:t>0 or 1</w:t>
      </w:r>
      <w:r w:rsidRPr="4AF9E47B">
        <w:rPr>
          <w:color w:val="000000" w:themeColor="text1"/>
          <w:lang w:val="en-GB"/>
        </w:rPr>
        <w:t xml:space="preserve"> dose were observed.</w:t>
      </w:r>
    </w:p>
    <w:p w:rsidRPr="003F41FF" w:rsidR="00457F3C" w:rsidP="4AF9E47B" w:rsidRDefault="00457F3C" w14:paraId="18D07662" w14:textId="18360505">
      <w:pPr>
        <w:pStyle w:val="Default"/>
        <w:spacing w:line="276" w:lineRule="auto"/>
        <w:jc w:val="both"/>
        <w:rPr>
          <w:rFonts w:asciiTheme="minorHAnsi" w:hAnsiTheme="minorHAnsi" w:cstheme="minorBidi"/>
          <w:color w:val="000000" w:themeColor="text1"/>
          <w:sz w:val="22"/>
          <w:szCs w:val="22"/>
        </w:rPr>
      </w:pPr>
      <w:r w:rsidRPr="4AF9E47B">
        <w:rPr>
          <w:rFonts w:asciiTheme="minorHAnsi" w:hAnsiTheme="minorHAnsi" w:cstheme="minorBidi"/>
          <w:color w:val="000000" w:themeColor="text1"/>
          <w:sz w:val="22"/>
          <w:szCs w:val="22"/>
        </w:rPr>
        <w:t xml:space="preserve">In studies with </w:t>
      </w:r>
      <w:r w:rsidR="002359FB">
        <w:rPr>
          <w:rFonts w:asciiTheme="minorHAnsi" w:hAnsiTheme="minorHAnsi" w:cstheme="minorBidi"/>
          <w:color w:val="000000" w:themeColor="text1"/>
          <w:sz w:val="22"/>
          <w:szCs w:val="22"/>
        </w:rPr>
        <w:t xml:space="preserve">baseline </w:t>
      </w:r>
      <w:r w:rsidRPr="4AF9E47B">
        <w:rPr>
          <w:rFonts w:asciiTheme="minorHAnsi" w:hAnsiTheme="minorHAnsi" w:cstheme="minorBidi"/>
          <w:color w:val="000000" w:themeColor="text1"/>
          <w:sz w:val="22"/>
          <w:szCs w:val="22"/>
        </w:rPr>
        <w:t xml:space="preserve">haematocrit measured instead of haemoglobin, haematocrit will be converted to haemoglobin using the following </w:t>
      </w:r>
      <w:r w:rsidRPr="4AF9E47B" w:rsidR="00110DFD">
        <w:rPr>
          <w:rFonts w:asciiTheme="minorHAnsi" w:hAnsiTheme="minorHAnsi" w:cstheme="minorBidi"/>
          <w:color w:val="000000" w:themeColor="text1"/>
          <w:sz w:val="22"/>
          <w:szCs w:val="22"/>
        </w:rPr>
        <w:t>formula</w:t>
      </w:r>
      <w:r w:rsidRPr="4AF9E47B" w:rsidR="009A4B50">
        <w:rPr>
          <w:rFonts w:asciiTheme="minorHAnsi" w:hAnsiTheme="minorHAnsi" w:cstheme="minorBidi"/>
          <w:color w:val="000000" w:themeColor="text1"/>
          <w:sz w:val="22"/>
          <w:szCs w:val="22"/>
        </w:rPr>
        <w:t xml:space="preserve"> </w:t>
      </w:r>
      <w:r w:rsidRPr="4AF9E47B">
        <w:rPr>
          <w:rFonts w:asciiTheme="minorHAnsi" w:hAnsiTheme="minorHAnsi" w:cstheme="minorBidi"/>
          <w:noProof/>
          <w:color w:val="000000" w:themeColor="text1"/>
          <w:sz w:val="22"/>
          <w:szCs w:val="22"/>
          <w:lang w:val="en-AU"/>
        </w:rPr>
        <w:fldChar w:fldCharType="begin"/>
      </w:r>
      <w:r w:rsidR="005E0647">
        <w:rPr>
          <w:rFonts w:asciiTheme="minorHAnsi" w:hAnsiTheme="minorHAnsi" w:cstheme="minorBidi"/>
          <w:noProof/>
          <w:color w:val="000000" w:themeColor="text1"/>
          <w:sz w:val="22"/>
          <w:szCs w:val="22"/>
          <w:lang w:val="en-AU"/>
        </w:rPr>
        <w:instrText xml:space="preserve"> ADDIN ZOTERO_ITEM CSL_CITATION {"citationID":"FXjhQZyh","properties":{"formattedCitation":"(4)","plainCitation":"(4)","noteIndex":0},"citationItems":[{"id":1182,"uris":["http://zotero.org/users/5812412/items/58YBWJ4G"],"itemData":{"id":1182,"type":"article-journal","abstract":"Abstract\n            \n              Background\n              Malaria is a very important cause of anaemia in tropical countries. Anaemia is assessed either by measurement of the haematocrit or the haemoglobin concentration. For comparisons across studies, it is often necessary to derive one measure from the other.\n            \n            \n              Methods\n              Data on patients with slide-confirmed uncomplicated falciparum malaria were pooled from 85 antimalarial drug trials conducted in 25 different countries, to assess the haemoglobin/haematocrit relationship at different time points in malaria. Using a linear random effects model, a conversion equation for haematocrit was derived based on 3,254 measurements from various time points (ranging from day 0 to day 63) from 1,810 patients with simultaneous measurements of both parameters. Haemoglobin was also estimated from haematocrit with the commonly used threefold conversion.\n            \n            \n              Results\n              A good fit was obtained using Haematocrit = 5.62 + 2.60 * Haemoglobin. On average, haematocrit/3 levels were slightly higher than haemoglobin measurements with a mean difference (± SD) of -0.69 (± 1.3) for children under the age of 5 (n = 1,440 measurements from 449 patients).\n            \n            \n              Conclusion\n              Based on this large data set, an accurate and robust conversion factor both in acute malaria and in convalescence was obtained. The commonly used threefold conversion is also valid.","container-title":"Malaria Journal","DOI":"10.1186/1475-2875-7-149","ISSN":"1475-2875","issue":"1","journalAbbreviation":"Malar J","language":"en","page":"149","source":"DOI.org (Crossref)","title":"The relationship between the haemoglobin concentration and the haematocrit in Plasmodium falciparum malaria","volume":"7","author":[{"family":"Lee","given":"Sue J"},{"family":"Stepniewska","given":"Kasia"},{"family":"Anstey","given":"Nicholas"},{"family":"Ashley","given":"Elizabeth"},{"family":"Barnes","given":"Karen"},{"family":"Binh","given":"Tran Quang"},{"family":"D'Alessandro","given":"Umberto"},{"family":"Day","given":"Nicholas PJ"},{"family":"Vries","given":"Peter J","non-dropping-particle":"de"},{"family":"Dorsey","given":"Grant"},{"family":"Guthmann","given":"Jean-Paul"},{"family":"Mayxay","given":"Mayfong"},{"family":"Newton","given":"Paul"},{"family":"Nosten","given":"Francois"},{"family":"Olliaro","given":"Piero"},{"family":"Osario","given":"Lyda"},{"family":"Pinoges","given":"Loretxu"},{"family":"Price","given":"Ric"},{"family":"Rowland","given":"Mark"},{"family":"Smithuis","given":"Frank"},{"family":"Taylor","given":"Robert"},{"family":"White","given":"Nicholas J"}],"issued":{"date-parts":[["2008",12]]}}}],"schema":"https://github.com/citation-style-language/schema/raw/master/csl-citation.json"} </w:instrText>
      </w:r>
      <w:r w:rsidRPr="4AF9E47B">
        <w:rPr>
          <w:rFonts w:asciiTheme="minorHAnsi" w:hAnsiTheme="minorHAnsi" w:cstheme="minorBidi"/>
          <w:noProof/>
          <w:color w:val="000000" w:themeColor="text1"/>
          <w:sz w:val="22"/>
          <w:szCs w:val="22"/>
          <w:lang w:val="en-AU"/>
        </w:rPr>
        <w:fldChar w:fldCharType="separate"/>
      </w:r>
      <w:r w:rsidR="005E0647">
        <w:rPr>
          <w:rFonts w:asciiTheme="minorHAnsi" w:hAnsiTheme="minorHAnsi" w:cstheme="minorBidi"/>
          <w:color w:val="000000" w:themeColor="text1"/>
          <w:sz w:val="22"/>
          <w:szCs w:val="22"/>
        </w:rPr>
        <w:t>(4)</w:t>
      </w:r>
      <w:r w:rsidRPr="4AF9E47B">
        <w:rPr>
          <w:rFonts w:asciiTheme="minorHAnsi" w:hAnsiTheme="minorHAnsi" w:cstheme="minorBidi"/>
          <w:noProof/>
          <w:color w:val="000000" w:themeColor="text1"/>
          <w:sz w:val="22"/>
          <w:szCs w:val="22"/>
          <w:lang w:val="en-AU"/>
        </w:rPr>
        <w:fldChar w:fldCharType="end"/>
      </w:r>
      <w:r w:rsidRPr="4AF9E47B">
        <w:rPr>
          <w:rFonts w:asciiTheme="minorHAnsi" w:hAnsiTheme="minorHAnsi" w:cstheme="minorBidi"/>
          <w:color w:val="000000" w:themeColor="text1"/>
          <w:sz w:val="22"/>
          <w:szCs w:val="22"/>
        </w:rPr>
        <w:t>:</w:t>
      </w:r>
    </w:p>
    <w:p w:rsidRPr="003F41FF" w:rsidR="00457F3C" w:rsidP="4AF9E47B" w:rsidRDefault="00457F3C" w14:paraId="105A5D2E" w14:textId="77777777">
      <w:pPr>
        <w:pStyle w:val="Default"/>
        <w:spacing w:line="276" w:lineRule="auto"/>
        <w:jc w:val="both"/>
        <w:rPr>
          <w:rFonts w:asciiTheme="minorHAnsi" w:hAnsiTheme="minorHAnsi" w:cstheme="minorBidi"/>
          <w:color w:val="000000" w:themeColor="text1"/>
          <w:sz w:val="22"/>
          <w:szCs w:val="22"/>
        </w:rPr>
      </w:pPr>
    </w:p>
    <w:p w:rsidRPr="003F41FF" w:rsidR="00457F3C" w:rsidP="4AF9E47B" w:rsidRDefault="0089616B" w14:paraId="75B55D70" w14:textId="6E2E08A8">
      <w:pPr>
        <w:spacing w:line="360" w:lineRule="auto"/>
        <w:ind w:left="720"/>
        <w:jc w:val="center"/>
        <w:rPr>
          <w:rFonts w:cstheme="minorBidi"/>
          <w:color w:val="000000" w:themeColor="text1"/>
        </w:rPr>
      </w:pPr>
      <m:oMath>
        <m:r>
          <m:rPr>
            <m:sty m:val="p"/>
          </m:rPr>
          <w:rPr>
            <w:rFonts w:ascii="Cambria Math" w:hAnsi="Cambria Math"/>
            <w:color w:val="000000" w:themeColor="text1"/>
          </w:rPr>
          <m:t>Haemoglobin</m:t>
        </m:r>
        <m: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Haematocrit</m:t>
            </m:r>
            <m:r>
              <w:rPr>
                <w:rFonts w:ascii="Cambria Math" w:hAnsi="Cambria Math"/>
                <w:color w:val="000000" w:themeColor="text1"/>
              </w:rPr>
              <m:t xml:space="preserve"> - 5.62</m:t>
            </m:r>
          </m:num>
          <m:den>
            <m:r>
              <w:rPr>
                <w:rFonts w:ascii="Cambria Math" w:hAnsi="Cambria Math"/>
                <w:color w:val="000000" w:themeColor="text1"/>
              </w:rPr>
              <m:t>2.60</m:t>
            </m:r>
          </m:den>
        </m:f>
      </m:oMath>
      <w:r w:rsidRPr="003F41FF" w:rsidR="00457F3C">
        <w:rPr>
          <w:color w:val="000000" w:themeColor="text1"/>
          <w:lang w:val="en-AU"/>
        </w:rPr>
        <w:tab/>
      </w:r>
      <w:r w:rsidRPr="4AF9E47B" w:rsidR="00457F3C">
        <w:rPr>
          <w:color w:val="000000" w:themeColor="text1"/>
        </w:rPr>
        <w:t xml:space="preserve"> </w:t>
      </w:r>
    </w:p>
    <w:p w:rsidRPr="003F41FF" w:rsidR="00457F3C" w:rsidP="4AF9E47B" w:rsidRDefault="00457F3C" w14:paraId="0C4DF767" w14:textId="1A98BED6">
      <w:pPr>
        <w:rPr>
          <w:rFonts w:cstheme="minorBidi"/>
          <w:color w:val="000000" w:themeColor="text1"/>
        </w:rPr>
      </w:pPr>
      <w:r w:rsidRPr="4AF9E47B">
        <w:rPr>
          <w:rFonts w:cstheme="minorBidi"/>
          <w:color w:val="000000" w:themeColor="text1"/>
        </w:rPr>
        <w:t xml:space="preserve">For each study, </w:t>
      </w:r>
      <w:r w:rsidRPr="4AF9E47B" w:rsidR="00E21F7C">
        <w:rPr>
          <w:rFonts w:cstheme="minorBidi"/>
          <w:color w:val="000000" w:themeColor="text1"/>
        </w:rPr>
        <w:t xml:space="preserve">the </w:t>
      </w:r>
      <w:r w:rsidRPr="4AF9E47B">
        <w:rPr>
          <w:rFonts w:cstheme="minorBidi"/>
          <w:color w:val="000000" w:themeColor="text1"/>
        </w:rPr>
        <w:t xml:space="preserve">locations of study sites will be recorded. Each location will be categorised into: </w:t>
      </w:r>
    </w:p>
    <w:p w:rsidRPr="00AE376B" w:rsidR="00457F3C" w:rsidP="007B683C" w:rsidRDefault="006C750B" w14:paraId="2618E670" w14:textId="401FC51A">
      <w:pPr>
        <w:pStyle w:val="ListParagraph"/>
        <w:numPr>
          <w:ilvl w:val="0"/>
          <w:numId w:val="3"/>
        </w:numPr>
        <w:spacing w:after="0"/>
        <w:rPr>
          <w:rFonts w:cstheme="minorBidi"/>
          <w:color w:val="000000" w:themeColor="text1"/>
          <w:lang w:val="en-GB"/>
        </w:rPr>
      </w:pPr>
      <w:r w:rsidRPr="4AF9E47B">
        <w:rPr>
          <w:rFonts w:cstheme="minorBidi"/>
          <w:color w:val="000000" w:themeColor="text1"/>
          <w:u w:val="single"/>
          <w:lang w:val="en-GB"/>
        </w:rPr>
        <w:t>L</w:t>
      </w:r>
      <w:r w:rsidRPr="4AF9E47B" w:rsidR="00457F3C">
        <w:rPr>
          <w:rFonts w:cstheme="minorBidi"/>
          <w:color w:val="000000" w:themeColor="text1"/>
          <w:u w:val="single"/>
          <w:lang w:val="en-GB"/>
        </w:rPr>
        <w:t>ow, moderate and high transmission settings</w:t>
      </w:r>
      <w:r w:rsidRPr="4AF9E47B" w:rsidR="00457F3C">
        <w:rPr>
          <w:rFonts w:cstheme="minorBidi"/>
          <w:color w:val="000000" w:themeColor="text1"/>
          <w:lang w:val="en-GB"/>
        </w:rPr>
        <w:t xml:space="preserve"> based on the </w:t>
      </w:r>
      <w:r w:rsidRPr="4AF9E47B" w:rsidR="00457F3C">
        <w:rPr>
          <w:rStyle w:val="Strong"/>
          <w:rFonts w:asciiTheme="minorHAnsi" w:hAnsiTheme="minorHAnsi" w:cstheme="minorBidi"/>
          <w:color w:val="000000" w:themeColor="text1"/>
          <w:lang w:val="en-GB"/>
        </w:rPr>
        <w:t xml:space="preserve">observed study site reinfection rate and the </w:t>
      </w:r>
      <w:r w:rsidRPr="4AF9E47B" w:rsidR="00457F3C">
        <w:rPr>
          <w:rFonts w:cstheme="minorBidi"/>
          <w:color w:val="000000" w:themeColor="text1"/>
          <w:lang w:val="en-GB"/>
        </w:rPr>
        <w:t xml:space="preserve">malaria endemicity estimates obtained for </w:t>
      </w:r>
      <w:r w:rsidRPr="4AF9E47B" w:rsidR="00B622DA">
        <w:rPr>
          <w:rFonts w:cstheme="minorBidi"/>
          <w:color w:val="000000" w:themeColor="text1"/>
          <w:lang w:val="en-GB"/>
        </w:rPr>
        <w:t>subnational regions</w:t>
      </w:r>
      <w:r w:rsidRPr="4AF9E47B" w:rsidR="00457F3C">
        <w:rPr>
          <w:rFonts w:cstheme="minorBidi"/>
          <w:color w:val="000000" w:themeColor="text1"/>
          <w:lang w:val="en-GB"/>
        </w:rPr>
        <w:t xml:space="preserve"> and year from the Malaria Atlas Project</w:t>
      </w:r>
      <w:r w:rsidRPr="4AF9E47B" w:rsidR="009B7DF5">
        <w:rPr>
          <w:rFonts w:cstheme="minorBidi"/>
          <w:color w:val="000000" w:themeColor="text1"/>
          <w:lang w:val="en-GB"/>
        </w:rPr>
        <w:t xml:space="preserve"> </w:t>
      </w:r>
      <w:r w:rsidRPr="4AF9E47B">
        <w:rPr>
          <w:rFonts w:cstheme="minorBidi"/>
          <w:noProof/>
          <w:color w:val="000000" w:themeColor="text1"/>
        </w:rPr>
        <w:fldChar w:fldCharType="begin"/>
      </w:r>
      <w:r w:rsidR="005E0647">
        <w:rPr>
          <w:rFonts w:cstheme="minorBidi"/>
          <w:noProof/>
          <w:color w:val="000000" w:themeColor="text1"/>
        </w:rPr>
        <w:instrText xml:space="preserve"> ADDIN ZOTERO_ITEM CSL_CITATION {"citationID":"qIUJIqsj","properties":{"formattedCitation":"(5)","plainCitation":"(5)","noteIndex":0},"citationItems":[{"id":1184,"uris":["http://zotero.org/users/5812412/items/GN8F3TCQ"],"itemData":{"id":1184,"type":"article-journal","container-title":"The Lancet","DOI":"10.1016/S0140-6736(19)31096-7","ISSN":"01406736","issue":"10195","journalAbbreviation":"The Lancet","language":"en","page":"332-343","source":"DOI.org (Crossref)","title":"Mapping the global endemicity and clinical burden of Plasmodium vivax, 2000–17: a spatial and temporal modelling study","title-short":"Mapping the global endemicity and clinical burden of Plasmodium vivax, 2000–17","volume":"394","author":[{"family":"Battle","given":"Katherine E"},{"family":"Lucas","given":"Tim C D"},{"family":"Nguyen","given":"Michele"},{"family":"Howes","given":"Rosalind E"},{"family":"Nandi","given":"Anita K"},{"family":"Twohig","given":"Katherine A"},{"family":"Pfeffer","given":"Daniel A"},{"family":"Cameron","given":"Ewan"},{"family":"Rao","given":"Puja C"},{"family":"Casey","given":"Daniel"},{"family":"Gibson","given":"Harry S"},{"family":"Rozier","given":"Jennifer A"},{"family":"Dalrymple","given":"Ursula"},{"family":"Keddie","given":"Suzanne H"},{"family":"Collins","given":"Emma L"},{"family":"Harris","given":"Joseph R"},{"family":"Guerra","given":"Carlos A"},{"family":"Thorn","given":"Michael P"},{"family":"Bisanzio","given":"Donal"},{"family":"Fullman","given":"Nancy"},{"family":"Huynh","given":"Chantal K"},{"family":"Kulikoff","given":"Xie"},{"family":"Kutz","given":"Michael J"},{"family":"Lopez","given":"Alan D"},{"family":"Mokdad","given":"Ali H"},{"family":"Naghavi","given":"Mohsen"},{"family":"Nguyen","given":"Grant"},{"family":"Shackelford","given":"Katya Anne"},{"family":"Vos","given":"Theo"},{"family":"Wang","given":"Haidong"},{"family":"Lim","given":"Stephen S"},{"family":"Murray","given":"Christopher J L"},{"family":"Price","given":"Ric N"},{"family":"Baird","given":"J Kevin"},{"family":"Smith","given":"David L"},{"family":"Bhatt","given":"Samir"},{"family":"Weiss","given":"Daniel J"},{"family":"Hay","given":"Simon I"},{"family":"Gething","given":"Peter W"}],"issued":{"date-parts":[["2019",7]]}}}],"schema":"https://github.com/citation-style-language/schema/raw/master/csl-citation.json"} </w:instrText>
      </w:r>
      <w:r w:rsidRPr="4AF9E47B">
        <w:rPr>
          <w:rFonts w:cstheme="minorBidi"/>
          <w:noProof/>
          <w:color w:val="000000" w:themeColor="text1"/>
        </w:rPr>
        <w:fldChar w:fldCharType="separate"/>
      </w:r>
      <w:r w:rsidR="005E0647">
        <w:rPr>
          <w:rFonts w:cstheme="minorBidi"/>
          <w:color w:val="000000" w:themeColor="text1"/>
        </w:rPr>
        <w:t>(5)</w:t>
      </w:r>
      <w:r w:rsidRPr="4AF9E47B">
        <w:rPr>
          <w:rFonts w:cstheme="minorBidi"/>
          <w:noProof/>
          <w:color w:val="000000" w:themeColor="text1"/>
        </w:rPr>
        <w:fldChar w:fldCharType="end"/>
      </w:r>
      <w:r w:rsidRPr="4AF9E47B" w:rsidR="00457F3C">
        <w:rPr>
          <w:rFonts w:cstheme="minorBidi"/>
          <w:color w:val="000000" w:themeColor="text1"/>
          <w:lang w:val="en-GB"/>
        </w:rPr>
        <w:t xml:space="preserve">. </w:t>
      </w:r>
    </w:p>
    <w:p w:rsidRPr="003F41FF" w:rsidR="00457F3C" w:rsidP="007B683C" w:rsidRDefault="006C750B" w14:paraId="244D1D1F" w14:textId="5F2C2DD5">
      <w:pPr>
        <w:pStyle w:val="ListParagraph"/>
        <w:numPr>
          <w:ilvl w:val="0"/>
          <w:numId w:val="3"/>
        </w:numPr>
        <w:spacing w:after="0"/>
        <w:rPr>
          <w:rFonts w:cstheme="minorBidi"/>
          <w:color w:val="000000" w:themeColor="text1"/>
          <w:lang w:val="en-GB"/>
        </w:rPr>
      </w:pPr>
      <w:r w:rsidRPr="4AF9E47B">
        <w:rPr>
          <w:rFonts w:cstheme="minorBidi"/>
          <w:color w:val="000000" w:themeColor="text1"/>
          <w:u w:val="single"/>
          <w:lang w:val="en-GB"/>
        </w:rPr>
        <w:t xml:space="preserve">Low (long) </w:t>
      </w:r>
      <w:r w:rsidRPr="4AF9E47B" w:rsidR="00457F3C">
        <w:rPr>
          <w:rFonts w:cstheme="minorBidi"/>
          <w:color w:val="000000" w:themeColor="text1"/>
          <w:u w:val="single"/>
          <w:lang w:val="en-GB"/>
        </w:rPr>
        <w:t>and hig</w:t>
      </w:r>
      <w:r w:rsidRPr="4AF9E47B">
        <w:rPr>
          <w:rFonts w:cstheme="minorBidi"/>
          <w:color w:val="000000" w:themeColor="text1"/>
          <w:u w:val="single"/>
          <w:lang w:val="en-GB"/>
        </w:rPr>
        <w:t>h (short)</w:t>
      </w:r>
      <w:r w:rsidRPr="4AF9E47B" w:rsidR="00457F3C">
        <w:rPr>
          <w:rFonts w:cstheme="minorBidi"/>
          <w:color w:val="000000" w:themeColor="text1"/>
          <w:u w:val="single"/>
          <w:lang w:val="en-GB"/>
        </w:rPr>
        <w:t xml:space="preserve"> periodicity of relapses</w:t>
      </w:r>
      <w:r w:rsidRPr="4AF9E47B" w:rsidR="00457F3C">
        <w:rPr>
          <w:rFonts w:cstheme="minorBidi"/>
          <w:color w:val="000000" w:themeColor="text1"/>
          <w:lang w:val="en-GB"/>
        </w:rPr>
        <w:t xml:space="preserve"> according to Battle’s regions</w:t>
      </w:r>
      <w:r w:rsidRPr="4AF9E47B" w:rsidR="00BC0597">
        <w:rPr>
          <w:rFonts w:cstheme="minorBidi"/>
          <w:color w:val="000000" w:themeColor="text1"/>
          <w:lang w:val="en-GB"/>
        </w:rPr>
        <w:t xml:space="preserve"> </w:t>
      </w:r>
      <w:r w:rsidRPr="4AF9E47B">
        <w:rPr>
          <w:rFonts w:cstheme="minorBidi"/>
          <w:noProof/>
          <w:color w:val="000000" w:themeColor="text1"/>
        </w:rPr>
        <w:fldChar w:fldCharType="begin"/>
      </w:r>
      <w:r w:rsidR="005E0647">
        <w:rPr>
          <w:rFonts w:cstheme="minorBidi"/>
          <w:noProof/>
          <w:color w:val="000000" w:themeColor="text1"/>
        </w:rPr>
        <w:instrText xml:space="preserve"> ADDIN ZOTERO_ITEM CSL_CITATION {"citationID":"kQZUu2J7","properties":{"formattedCitation":"(6)","plainCitation":"(6)","noteIndex":0},"citationItems":[{"id":1186,"uris":["http://zotero.org/users/5812412/items/3GJZJZW6"],"itemData":{"id":1186,"type":"article-journal","container-title":"Malaria Journal","DOI":"10.1186/1475-2875-13-144","ISSN":"1475-2875","issue":"1","journalAbbreviation":"Malar J","language":"en","page":"144","source":"DOI.org (Crossref)","title":"Geographical variation in Plasmodium vivax relapse","volume":"13","author":[{"family":"Battle","given":"Katherine E"},{"family":"Karhunen","given":"Markku S"},{"family":"Bhatt","given":"Samir"},{"family":"Gething","given":"Peter W"},{"family":"Howes","given":"Rosalind E"},{"family":"Golding","given":"Nick"},{"family":"Van Boeckel","given":"Thomas P"},{"family":"Messina","given":"Jane P"},{"family":"Shanks","given":"G Dennis"},{"family":"Smith","given":"David L"},{"family":"Baird","given":"J Kevin"},{"family":"Hay","given":"Simon I"}],"issued":{"date-parts":[["2014",12]]}}}],"schema":"https://github.com/citation-style-language/schema/raw/master/csl-citation.json"} </w:instrText>
      </w:r>
      <w:r w:rsidRPr="4AF9E47B">
        <w:rPr>
          <w:rFonts w:cstheme="minorBidi"/>
          <w:noProof/>
          <w:color w:val="000000" w:themeColor="text1"/>
        </w:rPr>
        <w:fldChar w:fldCharType="separate"/>
      </w:r>
      <w:r w:rsidR="005E0647">
        <w:rPr>
          <w:rFonts w:cstheme="minorBidi"/>
          <w:color w:val="000000" w:themeColor="text1"/>
        </w:rPr>
        <w:t>(6)</w:t>
      </w:r>
      <w:r w:rsidRPr="4AF9E47B">
        <w:rPr>
          <w:rFonts w:cstheme="minorBidi"/>
          <w:noProof/>
          <w:color w:val="000000" w:themeColor="text1"/>
        </w:rPr>
        <w:fldChar w:fldCharType="end"/>
      </w:r>
      <w:r w:rsidRPr="4AF9E47B">
        <w:rPr>
          <w:rFonts w:cstheme="minorBidi"/>
          <w:color w:val="000000" w:themeColor="text1"/>
          <w:lang w:val="en-GB"/>
        </w:rPr>
        <w:t xml:space="preserve">, with high periodicity considered to include regions where the median periodicity was ≤42 days. </w:t>
      </w:r>
      <w:r w:rsidRPr="4AF9E47B" w:rsidR="005250CA">
        <w:rPr>
          <w:rFonts w:cstheme="minorBidi"/>
          <w:color w:val="000000" w:themeColor="text1"/>
          <w:lang w:val="en-GB"/>
        </w:rPr>
        <w:t>Thus,</w:t>
      </w:r>
      <w:r w:rsidRPr="4AF9E47B">
        <w:rPr>
          <w:rFonts w:cstheme="minorBidi"/>
          <w:color w:val="000000" w:themeColor="text1"/>
          <w:lang w:val="en-GB"/>
        </w:rPr>
        <w:t xml:space="preserve"> regions with the two highest periodicities (region</w:t>
      </w:r>
      <w:r w:rsidRPr="4AF9E47B" w:rsidR="00343902">
        <w:rPr>
          <w:rFonts w:cstheme="minorBidi"/>
          <w:color w:val="000000" w:themeColor="text1"/>
          <w:lang w:val="en-GB"/>
        </w:rPr>
        <w:t>s</w:t>
      </w:r>
      <w:r w:rsidRPr="4AF9E47B">
        <w:rPr>
          <w:rFonts w:cstheme="minorBidi"/>
          <w:color w:val="000000" w:themeColor="text1"/>
          <w:lang w:val="en-GB"/>
        </w:rPr>
        <w:t xml:space="preserve"> 10 and 12) where the median periodicity is &lt;47 days will be categorised as “high</w:t>
      </w:r>
      <w:r w:rsidRPr="4AF9E47B" w:rsidR="00EA3A59">
        <w:rPr>
          <w:rFonts w:cstheme="minorBidi"/>
          <w:color w:val="000000" w:themeColor="text1"/>
          <w:lang w:val="en-GB"/>
        </w:rPr>
        <w:t>”,</w:t>
      </w:r>
      <w:r w:rsidRPr="4AF9E47B">
        <w:rPr>
          <w:rFonts w:cstheme="minorBidi"/>
          <w:color w:val="000000" w:themeColor="text1"/>
          <w:lang w:val="en-GB"/>
        </w:rPr>
        <w:t xml:space="preserve"> and others will be categorised as “low”. </w:t>
      </w:r>
    </w:p>
    <w:p w:rsidRPr="000E32A1" w:rsidR="00457F3C" w:rsidP="4AF9E47B" w:rsidRDefault="00457F3C" w14:paraId="3D62FE36" w14:textId="68F17407">
      <w:pPr>
        <w:spacing w:after="0"/>
        <w:rPr>
          <w:rFonts w:cstheme="minorBidi"/>
          <w:color w:val="000000" w:themeColor="text1"/>
        </w:rPr>
      </w:pPr>
    </w:p>
    <w:p w:rsidR="00457F3C" w:rsidP="4AF9E47B" w:rsidRDefault="00D93ECF" w14:paraId="19BF3031" w14:textId="196C4702">
      <w:pPr>
        <w:rPr>
          <w:rStyle w:val="Strong"/>
          <w:rFonts w:asciiTheme="minorHAnsi" w:hAnsiTheme="minorHAnsi"/>
          <w:color w:val="000000" w:themeColor="text1"/>
        </w:rPr>
      </w:pPr>
      <w:r w:rsidRPr="4AF9E47B">
        <w:rPr>
          <w:rStyle w:val="Strong"/>
          <w:rFonts w:asciiTheme="minorHAnsi" w:hAnsiTheme="minorHAnsi"/>
          <w:color w:val="000000" w:themeColor="text1"/>
        </w:rPr>
        <w:t xml:space="preserve">G6PD deficiency will be classified </w:t>
      </w:r>
      <w:r w:rsidRPr="4AF9E47B" w:rsidR="00DF35E4">
        <w:rPr>
          <w:rStyle w:val="Strong"/>
          <w:rFonts w:asciiTheme="minorHAnsi" w:hAnsiTheme="minorHAnsi"/>
          <w:color w:val="000000" w:themeColor="text1"/>
        </w:rPr>
        <w:t>as</w:t>
      </w:r>
      <w:r w:rsidRPr="4AF9E47B" w:rsidR="00BF29E5">
        <w:rPr>
          <w:rStyle w:val="Strong"/>
          <w:rFonts w:asciiTheme="minorHAnsi" w:hAnsiTheme="minorHAnsi"/>
          <w:color w:val="000000" w:themeColor="text1"/>
        </w:rPr>
        <w:t xml:space="preserve"> </w:t>
      </w:r>
      <w:r w:rsidRPr="4AF9E47B">
        <w:rPr>
          <w:rStyle w:val="Strong"/>
          <w:rFonts w:asciiTheme="minorHAnsi" w:hAnsiTheme="minorHAnsi"/>
          <w:color w:val="000000" w:themeColor="text1"/>
        </w:rPr>
        <w:t>deficient (</w:t>
      </w:r>
      <m:oMath>
        <m:r>
          <w:rPr>
            <w:rStyle w:val="Strong"/>
            <w:rFonts w:ascii="Cambria Math" w:hAnsi="Cambria Math"/>
            <w:noProof/>
            <w:color w:val="000000" w:themeColor="text1"/>
            <w:lang w:val="en-AU"/>
          </w:rPr>
          <m:t>&lt;</m:t>
        </m:r>
      </m:oMath>
      <w:r w:rsidRPr="4AF9E47B">
        <w:rPr>
          <w:rStyle w:val="Strong"/>
          <w:rFonts w:asciiTheme="minorHAnsi" w:hAnsiTheme="minorHAnsi"/>
          <w:color w:val="000000" w:themeColor="text1"/>
        </w:rPr>
        <w:t>30% activity or a positive qualitative test</w:t>
      </w:r>
      <w:r w:rsidRPr="4AF9E47B" w:rsidR="00AE72E2">
        <w:rPr>
          <w:rStyle w:val="Strong"/>
          <w:rFonts w:asciiTheme="minorHAnsi" w:hAnsiTheme="minorHAnsi"/>
          <w:color w:val="000000" w:themeColor="text1"/>
        </w:rPr>
        <w:t xml:space="preserve">, </w:t>
      </w:r>
      <w:r w:rsidRPr="4AF9E47B">
        <w:rPr>
          <w:rStyle w:val="Strong"/>
          <w:rFonts w:asciiTheme="minorHAnsi" w:hAnsiTheme="minorHAnsi"/>
          <w:color w:val="000000" w:themeColor="text1"/>
        </w:rPr>
        <w:t>e</w:t>
      </w:r>
      <w:r w:rsidRPr="4AF9E47B" w:rsidR="00AE72E2">
        <w:rPr>
          <w:rStyle w:val="Strong"/>
          <w:rFonts w:asciiTheme="minorHAnsi" w:hAnsiTheme="minorHAnsi"/>
          <w:color w:val="000000" w:themeColor="text1"/>
        </w:rPr>
        <w:t>.</w:t>
      </w:r>
      <w:r w:rsidRPr="4AF9E47B">
        <w:rPr>
          <w:rStyle w:val="Strong"/>
          <w:rFonts w:asciiTheme="minorHAnsi" w:hAnsiTheme="minorHAnsi"/>
          <w:color w:val="000000" w:themeColor="text1"/>
        </w:rPr>
        <w:t>g</w:t>
      </w:r>
      <w:r w:rsidRPr="4AF9E47B" w:rsidR="00AE72E2">
        <w:rPr>
          <w:rStyle w:val="Strong"/>
          <w:rFonts w:asciiTheme="minorHAnsi" w:hAnsiTheme="minorHAnsi"/>
          <w:color w:val="000000" w:themeColor="text1"/>
        </w:rPr>
        <w:t>.,</w:t>
      </w:r>
      <w:r w:rsidRPr="4AF9E47B">
        <w:rPr>
          <w:rStyle w:val="Strong"/>
          <w:rFonts w:asciiTheme="minorHAnsi" w:hAnsiTheme="minorHAnsi"/>
          <w:color w:val="000000" w:themeColor="text1"/>
        </w:rPr>
        <w:t xml:space="preserve"> </w:t>
      </w:r>
      <w:r w:rsidRPr="4AF9E47B" w:rsidR="004076A5">
        <w:rPr>
          <w:rStyle w:val="Strong"/>
          <w:rFonts w:asciiTheme="minorHAnsi" w:hAnsiTheme="minorHAnsi"/>
          <w:color w:val="000000" w:themeColor="text1"/>
        </w:rPr>
        <w:t xml:space="preserve">by </w:t>
      </w:r>
      <w:r w:rsidRPr="4AF9E47B">
        <w:rPr>
          <w:rStyle w:val="Strong"/>
          <w:rFonts w:asciiTheme="minorHAnsi" w:hAnsiTheme="minorHAnsi"/>
          <w:color w:val="000000" w:themeColor="text1"/>
        </w:rPr>
        <w:t>FST)</w:t>
      </w:r>
      <w:r w:rsidRPr="4AF9E47B" w:rsidR="00BF29E5">
        <w:rPr>
          <w:rStyle w:val="Strong"/>
          <w:rFonts w:asciiTheme="minorHAnsi" w:hAnsiTheme="minorHAnsi"/>
          <w:color w:val="000000" w:themeColor="text1"/>
        </w:rPr>
        <w:t xml:space="preserve"> </w:t>
      </w:r>
      <w:r w:rsidRPr="4AF9E47B" w:rsidR="00554A13">
        <w:rPr>
          <w:rStyle w:val="Strong"/>
          <w:rFonts w:asciiTheme="minorHAnsi" w:hAnsiTheme="minorHAnsi"/>
          <w:color w:val="000000" w:themeColor="text1"/>
        </w:rPr>
        <w:t>or</w:t>
      </w:r>
      <w:r w:rsidRPr="4AF9E47B" w:rsidR="00BF29E5">
        <w:rPr>
          <w:rStyle w:val="Strong"/>
          <w:rFonts w:asciiTheme="minorHAnsi" w:hAnsiTheme="minorHAnsi"/>
          <w:color w:val="000000" w:themeColor="text1"/>
        </w:rPr>
        <w:t xml:space="preserve"> normal (</w:t>
      </w:r>
      <m:oMath>
        <m:r>
          <w:rPr>
            <w:rStyle w:val="Strong"/>
            <w:rFonts w:ascii="Cambria Math" w:hAnsi="Cambria Math"/>
            <w:noProof/>
            <w:color w:val="000000" w:themeColor="text1"/>
            <w:lang w:val="en-AU"/>
          </w:rPr>
          <m:t>≥</m:t>
        </m:r>
      </m:oMath>
      <w:r w:rsidRPr="4AF9E47B" w:rsidR="00BF29E5">
        <w:rPr>
          <w:rStyle w:val="Strong"/>
          <w:rFonts w:asciiTheme="minorHAnsi" w:hAnsiTheme="minorHAnsi"/>
          <w:color w:val="000000" w:themeColor="text1"/>
        </w:rPr>
        <w:t>30% activity or a negative qualitative test)</w:t>
      </w:r>
      <w:r w:rsidRPr="4AF9E47B" w:rsidR="00DF35E4">
        <w:rPr>
          <w:rStyle w:val="Strong"/>
          <w:rFonts w:asciiTheme="minorHAnsi" w:hAnsiTheme="minorHAnsi"/>
          <w:color w:val="000000" w:themeColor="text1"/>
        </w:rPr>
        <w:t xml:space="preserve">. A second categorisation will be explored to assess patients with intermediate deficiency </w:t>
      </w:r>
      <w:r w:rsidRPr="4AF9E47B">
        <w:rPr>
          <w:rStyle w:val="Strong"/>
          <w:rFonts w:asciiTheme="minorHAnsi" w:hAnsiTheme="minorHAnsi"/>
          <w:color w:val="000000" w:themeColor="text1"/>
        </w:rPr>
        <w:t>(</w:t>
      </w:r>
      <m:oMath>
        <m:r>
          <w:rPr>
            <w:rStyle w:val="Strong"/>
            <w:rFonts w:ascii="Cambria Math" w:hAnsi="Cambria Math"/>
            <w:noProof/>
            <w:color w:val="000000" w:themeColor="text1"/>
            <w:lang w:val="en-AU"/>
          </w:rPr>
          <m:t>≥</m:t>
        </m:r>
      </m:oMath>
      <w:r w:rsidRPr="4AF9E47B">
        <w:rPr>
          <w:rStyle w:val="Strong"/>
          <w:rFonts w:asciiTheme="minorHAnsi" w:hAnsiTheme="minorHAnsi"/>
          <w:color w:val="000000" w:themeColor="text1"/>
        </w:rPr>
        <w:t>30% to &lt;70% activity)</w:t>
      </w:r>
      <w:r w:rsidRPr="4AF9E47B" w:rsidR="00840B47">
        <w:rPr>
          <w:rStyle w:val="Strong"/>
          <w:rFonts w:asciiTheme="minorHAnsi" w:hAnsiTheme="minorHAnsi"/>
          <w:color w:val="000000" w:themeColor="text1"/>
        </w:rPr>
        <w:t>.</w:t>
      </w:r>
    </w:p>
    <w:p w:rsidR="00D93ECF" w:rsidP="321F7F91" w:rsidRDefault="00D93ECF" w14:paraId="4A0C0F5B" w14:textId="1F6623D6">
      <w:pPr>
        <w:autoSpaceDE w:val="0"/>
        <w:autoSpaceDN w:val="0"/>
        <w:adjustRightInd w:val="0"/>
        <w:spacing w:after="0"/>
        <w:rPr>
          <w:rFonts w:ascii="Times New Roman" w:hAnsi="Times New Roman" w:eastAsiaTheme="minorEastAsia"/>
          <w:sz w:val="20"/>
          <w:szCs w:val="20"/>
        </w:rPr>
      </w:pPr>
      <w:r w:rsidRPr="321F7F91">
        <w:rPr>
          <w:rStyle w:val="Strong"/>
          <w:rFonts w:asciiTheme="minorHAnsi" w:hAnsiTheme="minorHAnsi" w:cstheme="minorBidi"/>
          <w:color w:val="000000" w:themeColor="text1"/>
        </w:rPr>
        <w:t>CYP2D6 status will be classified by expected phenotyp</w:t>
      </w:r>
      <w:r w:rsidRPr="321F7F91" w:rsidR="004F1473">
        <w:rPr>
          <w:rStyle w:val="Strong"/>
          <w:rFonts w:asciiTheme="minorHAnsi" w:hAnsiTheme="minorHAnsi" w:cstheme="minorBidi"/>
          <w:color w:val="000000" w:themeColor="text1"/>
        </w:rPr>
        <w:t>e using the activity score system</w:t>
      </w:r>
      <w:r w:rsidRPr="321F7F91" w:rsidR="00445E6B">
        <w:rPr>
          <w:rStyle w:val="Strong"/>
          <w:rFonts w:asciiTheme="minorHAnsi" w:hAnsiTheme="minorHAnsi" w:cstheme="minorBidi"/>
          <w:color w:val="000000" w:themeColor="text1"/>
        </w:rPr>
        <w:t xml:space="preserve"> </w:t>
      </w:r>
      <w:r w:rsidRPr="321F7F91" w:rsidR="0089183E">
        <w:rPr>
          <w:rStyle w:val="Strong"/>
          <w:rFonts w:asciiTheme="minorHAnsi" w:hAnsiTheme="minorHAnsi" w:cstheme="minorBidi"/>
          <w:noProof/>
          <w:color w:val="000000" w:themeColor="text1"/>
          <w:lang w:val="en-AU"/>
        </w:rPr>
        <w:fldChar w:fldCharType="begin"/>
      </w:r>
      <w:r w:rsidRPr="321F7F91" w:rsidR="005E0647">
        <w:rPr>
          <w:rStyle w:val="Strong"/>
          <w:rFonts w:asciiTheme="minorHAnsi" w:hAnsiTheme="minorHAnsi" w:cstheme="minorBidi"/>
          <w:noProof/>
          <w:color w:val="000000" w:themeColor="text1"/>
          <w:lang w:val="en-AU"/>
        </w:rPr>
        <w:instrText xml:space="preserve"> ADDIN ZOTERO_ITEM CSL_CITATION {"citationID":"1oJQ0IPa","properties":{"formattedCitation":"(7,8)","plainCitation":"(7,8)","noteIndex":0},"citationItems":[{"id":1190,"uris":["http://zotero.org/users/5812412/items/ACP8P7AW"],"itemData":{"id":1190,"type":"article-journal","container-title":"Clinical Pharmacology &amp; Therapeutics","DOI":"10.1038/sj.clpt.6100406","ISSN":"0009-9236, 1532-6535","issue":"2","journalAbbreviation":"Clin Pharmacol Ther","page":"234-242","source":"DOI.org (Crossref)","title":"The CYP2D6 Activity Score: Translating Genotype Information into a Qualitative Measure of Phenotype","title-short":"The CYP2D6 Activity Score","volume":"83","author":[{"family":"Gaedigk","given":"A"},{"family":"Simon","given":"Sd"},{"family":"Pearce","given":"Re"},{"family":"Bradford","given":"Ld"},{"family":"Kennedy","given":"Mj"},{"family":"Leeder","given":"Js"}],"issued":{"date-parts":[["2008",2]]}}},{"id":1188,"uris":["http://zotero.org/users/5812412/items/7R68HDAC"],"itemData":{"id":1188,"type":"article-journal","container-title":"Genetics in Medicine","DOI":"10.1038/gim.2016.80","ISSN":"10983600","issue":"1","journalAbbreviation":"Genetics in Medicine","language":"en","page":"69-76","source":"DOI.org (Crossref)","title":"Prediction of CYP2D6 phenotype from genotype across world populations","volume":"19","author":[{"family":"Gaedigk","given":"Andrea"},{"family":"Sangkuhl","given":"Katrin"},{"family":"Whirl-Carrillo","given":"Michelle"},{"family":"Klein","given":"Teri"},{"family":"Leeder","given":"J. Steven"}],"issued":{"date-parts":[["2017",1]]}}}],"schema":"https://github.com/citation-style-language/schema/raw/master/csl-citation.json"} </w:instrText>
      </w:r>
      <w:r w:rsidRPr="321F7F91" w:rsidR="0089183E">
        <w:rPr>
          <w:rStyle w:val="Strong"/>
          <w:rFonts w:asciiTheme="minorHAnsi" w:hAnsiTheme="minorHAnsi" w:cstheme="minorBidi"/>
          <w:noProof/>
          <w:color w:val="000000" w:themeColor="text1"/>
          <w:lang w:val="en-AU"/>
        </w:rPr>
        <w:fldChar w:fldCharType="separate"/>
      </w:r>
      <w:r w:rsidRPr="321F7F91" w:rsidR="005E0647">
        <w:rPr>
          <w:rStyle w:val="Strong"/>
          <w:rFonts w:asciiTheme="minorHAnsi" w:hAnsiTheme="minorHAnsi" w:cstheme="minorBidi"/>
          <w:noProof/>
          <w:color w:val="000000" w:themeColor="text1"/>
          <w:lang w:val="en-AU"/>
        </w:rPr>
        <w:t>(7,8)</w:t>
      </w:r>
      <w:r w:rsidRPr="321F7F91" w:rsidR="0089183E">
        <w:rPr>
          <w:rStyle w:val="Strong"/>
          <w:rFonts w:asciiTheme="minorHAnsi" w:hAnsiTheme="minorHAnsi" w:cstheme="minorBidi"/>
          <w:noProof/>
          <w:color w:val="000000" w:themeColor="text1"/>
          <w:lang w:val="en-AU"/>
        </w:rPr>
        <w:fldChar w:fldCharType="end"/>
      </w:r>
      <w:r w:rsidRPr="321F7F91" w:rsidR="004F1473">
        <w:rPr>
          <w:rStyle w:val="Strong"/>
          <w:rFonts w:asciiTheme="minorHAnsi" w:hAnsiTheme="minorHAnsi" w:cstheme="minorBidi"/>
          <w:color w:val="000000" w:themeColor="text1"/>
        </w:rPr>
        <w:t xml:space="preserve"> to estimate phenotype from genotype. The activity score assigns </w:t>
      </w:r>
      <w:r w:rsidRPr="321F7F91" w:rsidR="004F1473">
        <w:rPr>
          <w:rFonts w:eastAsiaTheme="minorEastAsia" w:cstheme="minorBidi"/>
        </w:rPr>
        <w:t xml:space="preserve">values of 0 to 2 </w:t>
      </w:r>
      <w:r w:rsidRPr="321F7F91" w:rsidR="00F01264">
        <w:rPr>
          <w:rFonts w:eastAsiaTheme="minorEastAsia" w:cstheme="minorBidi"/>
        </w:rPr>
        <w:t xml:space="preserve">based on </w:t>
      </w:r>
      <w:r w:rsidRPr="321F7F91" w:rsidR="004F1473">
        <w:rPr>
          <w:rFonts w:eastAsiaTheme="minorEastAsia" w:cstheme="minorBidi"/>
        </w:rPr>
        <w:t>the</w:t>
      </w:r>
      <w:r w:rsidRPr="321F7F91" w:rsidR="00253BD9">
        <w:rPr>
          <w:rFonts w:eastAsiaTheme="minorEastAsia" w:cstheme="minorBidi"/>
        </w:rPr>
        <w:t xml:space="preserve"> </w:t>
      </w:r>
      <w:r w:rsidRPr="321F7F91" w:rsidR="004F1473">
        <w:rPr>
          <w:rFonts w:eastAsiaTheme="minorEastAsia" w:cstheme="minorBidi"/>
          <w:i/>
          <w:iCs/>
        </w:rPr>
        <w:t xml:space="preserve">CYP2D6 </w:t>
      </w:r>
      <w:r w:rsidRPr="321F7F91" w:rsidR="004F1473">
        <w:rPr>
          <w:rFonts w:eastAsiaTheme="minorEastAsia" w:cstheme="minorBidi"/>
        </w:rPr>
        <w:t xml:space="preserve">alleles </w:t>
      </w:r>
      <w:r w:rsidRPr="321F7F91" w:rsidR="00F01264">
        <w:rPr>
          <w:rFonts w:eastAsiaTheme="minorEastAsia" w:cstheme="minorBidi"/>
        </w:rPr>
        <w:t xml:space="preserve">genotyped </w:t>
      </w:r>
      <w:r w:rsidRPr="321F7F91" w:rsidR="004F1473">
        <w:rPr>
          <w:rFonts w:eastAsiaTheme="minorEastAsia" w:cstheme="minorBidi"/>
        </w:rPr>
        <w:t>in the patient</w:t>
      </w:r>
      <w:r w:rsidRPr="321F7F91" w:rsidR="00F01264">
        <w:rPr>
          <w:rFonts w:eastAsiaTheme="minorEastAsia" w:cstheme="minorBidi"/>
        </w:rPr>
        <w:t>,</w:t>
      </w:r>
      <w:r w:rsidRPr="321F7F91" w:rsidR="004F1473">
        <w:rPr>
          <w:rFonts w:eastAsiaTheme="minorEastAsia" w:cstheme="minorBidi"/>
        </w:rPr>
        <w:t xml:space="preserve"> as follows: zero, no-function alleles (</w:t>
      </w:r>
      <w:r w:rsidRPr="321F7F91" w:rsidR="003416B5">
        <w:rPr>
          <w:rFonts w:eastAsiaTheme="minorEastAsia" w:cstheme="minorBidi"/>
        </w:rPr>
        <w:t xml:space="preserve">e.g., </w:t>
      </w:r>
      <w:r w:rsidRPr="321F7F91" w:rsidR="004F1473">
        <w:rPr>
          <w:rFonts w:eastAsiaTheme="minorEastAsia" w:cstheme="minorBidi"/>
          <w:i/>
          <w:iCs/>
        </w:rPr>
        <w:t>*4, *4xN, *5</w:t>
      </w:r>
      <w:r w:rsidRPr="321F7F91" w:rsidR="004F1473">
        <w:rPr>
          <w:rFonts w:eastAsiaTheme="minorEastAsia" w:cstheme="minorBidi"/>
        </w:rPr>
        <w:t xml:space="preserve">); </w:t>
      </w:r>
      <w:r w:rsidRPr="321F7F91" w:rsidR="00D11E4B">
        <w:rPr>
          <w:rFonts w:eastAsiaTheme="minorEastAsia" w:cstheme="minorBidi"/>
        </w:rPr>
        <w:t>0.25, substantially decreased-function (</w:t>
      </w:r>
      <w:r w:rsidRPr="321F7F91" w:rsidR="00D11E4B">
        <w:rPr>
          <w:rFonts w:eastAsiaTheme="minorEastAsia" w:cstheme="minorBidi"/>
          <w:i/>
          <w:iCs/>
        </w:rPr>
        <w:t>*10</w:t>
      </w:r>
      <w:r w:rsidRPr="321F7F91" w:rsidR="00D11E4B">
        <w:rPr>
          <w:rFonts w:eastAsiaTheme="minorEastAsia" w:cstheme="minorBidi"/>
        </w:rPr>
        <w:t>);</w:t>
      </w:r>
      <w:r w:rsidRPr="321F7F91" w:rsidR="00253BD9">
        <w:rPr>
          <w:rFonts w:eastAsiaTheme="minorEastAsia" w:cstheme="minorBidi"/>
        </w:rPr>
        <w:t xml:space="preserve"> </w:t>
      </w:r>
      <w:r w:rsidRPr="321F7F91" w:rsidR="004F1473">
        <w:rPr>
          <w:rFonts w:eastAsiaTheme="minorEastAsia" w:cstheme="minorBidi"/>
        </w:rPr>
        <w:t>0.5, decreased-function (</w:t>
      </w:r>
      <w:r w:rsidRPr="321F7F91" w:rsidR="004F1473">
        <w:rPr>
          <w:rFonts w:eastAsiaTheme="minorEastAsia" w:cstheme="minorBidi"/>
          <w:i/>
          <w:iCs/>
        </w:rPr>
        <w:t>*9, *17, *29, *41</w:t>
      </w:r>
      <w:r w:rsidRPr="321F7F91" w:rsidR="004F1473">
        <w:rPr>
          <w:rFonts w:eastAsiaTheme="minorEastAsia" w:cstheme="minorBidi"/>
        </w:rPr>
        <w:t>); 1, normal-function (</w:t>
      </w:r>
      <w:r w:rsidRPr="321F7F91" w:rsidR="004F1473">
        <w:rPr>
          <w:rFonts w:eastAsiaTheme="minorEastAsia" w:cstheme="minorBidi"/>
          <w:i/>
          <w:iCs/>
        </w:rPr>
        <w:t>*1, *2, *39</w:t>
      </w:r>
      <w:r w:rsidRPr="321F7F91" w:rsidR="004F1473">
        <w:rPr>
          <w:rFonts w:eastAsiaTheme="minorEastAsia" w:cstheme="minorBidi"/>
        </w:rPr>
        <w:t xml:space="preserve">) and 2, increased function </w:t>
      </w:r>
      <w:r w:rsidRPr="321F7F91" w:rsidR="004F1473">
        <w:rPr>
          <w:rFonts w:eastAsiaTheme="minorEastAsia" w:cstheme="minorBidi"/>
          <w:i/>
          <w:iCs/>
        </w:rPr>
        <w:t>(*1xN, *2xN</w:t>
      </w:r>
      <w:r w:rsidRPr="321F7F91" w:rsidR="004F1473">
        <w:rPr>
          <w:rFonts w:eastAsiaTheme="minorEastAsia" w:cstheme="minorBidi"/>
        </w:rPr>
        <w:t xml:space="preserve">). The </w:t>
      </w:r>
      <w:r w:rsidRPr="321F7F91" w:rsidR="001A42B0">
        <w:rPr>
          <w:rFonts w:eastAsiaTheme="minorEastAsia" w:cstheme="minorBidi"/>
        </w:rPr>
        <w:t>activity score</w:t>
      </w:r>
      <w:r w:rsidRPr="321F7F91" w:rsidR="004F1473">
        <w:rPr>
          <w:rFonts w:eastAsiaTheme="minorEastAsia" w:cstheme="minorBidi"/>
        </w:rPr>
        <w:t xml:space="preserve"> of </w:t>
      </w:r>
      <w:proofErr w:type="spellStart"/>
      <w:r w:rsidRPr="321F7F91" w:rsidR="004F1473">
        <w:rPr>
          <w:rFonts w:eastAsiaTheme="minorEastAsia" w:cstheme="minorBidi"/>
        </w:rPr>
        <w:t>diplotypes</w:t>
      </w:r>
      <w:proofErr w:type="spellEnd"/>
      <w:r w:rsidRPr="321F7F91" w:rsidR="004F1473">
        <w:rPr>
          <w:rFonts w:eastAsiaTheme="minorEastAsia" w:cstheme="minorBidi"/>
        </w:rPr>
        <w:t xml:space="preserve"> results from the sum of the assigned value to each allele. Patients with </w:t>
      </w:r>
      <w:r w:rsidRPr="321F7F91" w:rsidR="001A42B0">
        <w:rPr>
          <w:rFonts w:eastAsiaTheme="minorEastAsia" w:cstheme="minorBidi"/>
        </w:rPr>
        <w:t>an activity score</w:t>
      </w:r>
      <w:r w:rsidRPr="321F7F91" w:rsidR="004F1473">
        <w:rPr>
          <w:rFonts w:eastAsiaTheme="minorEastAsia" w:cstheme="minorBidi"/>
        </w:rPr>
        <w:t xml:space="preserve"> </w:t>
      </w:r>
      <w:r w:rsidRPr="321F7F91" w:rsidR="001A42B0">
        <w:rPr>
          <w:rFonts w:eastAsiaTheme="minorEastAsia" w:cstheme="minorBidi"/>
        </w:rPr>
        <w:t>of</w:t>
      </w:r>
      <w:r w:rsidRPr="321F7F91" w:rsidR="004F1473">
        <w:rPr>
          <w:rFonts w:eastAsiaTheme="minorEastAsia" w:cstheme="minorBidi"/>
        </w:rPr>
        <w:t xml:space="preserve"> 0</w:t>
      </w:r>
      <w:r w:rsidRPr="321F7F91" w:rsidR="00D11E4B">
        <w:rPr>
          <w:rFonts w:eastAsiaTheme="minorEastAsia" w:cstheme="minorBidi"/>
        </w:rPr>
        <w:t xml:space="preserve"> are designated </w:t>
      </w:r>
      <w:r w:rsidRPr="321F7F91" w:rsidR="00D11E4B">
        <w:rPr>
          <w:rFonts w:eastAsiaTheme="minorEastAsia" w:cstheme="minorBidi"/>
        </w:rPr>
        <w:t xml:space="preserve">as poor metabolisers. Patients with </w:t>
      </w:r>
      <w:r w:rsidRPr="321F7F91" w:rsidR="001A42B0">
        <w:rPr>
          <w:rFonts w:eastAsiaTheme="minorEastAsia" w:cstheme="minorBidi"/>
        </w:rPr>
        <w:t xml:space="preserve">an activity score </w:t>
      </w:r>
      <m:oMath>
        <m:r>
          <w:rPr>
            <w:rFonts w:ascii="Cambria Math" w:hAnsi="Cambria Math" w:cstheme="minorHAnsi"/>
          </w:rPr>
          <m:t>ϵ</m:t>
        </m:r>
      </m:oMath>
      <w:r w:rsidRPr="321F7F91" w:rsidR="004F1473">
        <w:rPr>
          <w:rFonts w:eastAsiaTheme="minorEastAsia" w:cstheme="minorBidi"/>
        </w:rPr>
        <w:t xml:space="preserve"> </w:t>
      </w:r>
      <w:r w:rsidRPr="321F7F91" w:rsidR="001A42B0">
        <w:rPr>
          <w:rFonts w:eastAsiaTheme="minorEastAsia" w:cstheme="minorBidi"/>
        </w:rPr>
        <w:t>{</w:t>
      </w:r>
      <w:r w:rsidRPr="321F7F91" w:rsidR="00D11E4B">
        <w:rPr>
          <w:rFonts w:eastAsiaTheme="minorEastAsia" w:cstheme="minorBidi"/>
        </w:rPr>
        <w:t xml:space="preserve">0.25, </w:t>
      </w:r>
      <w:r w:rsidRPr="321F7F91" w:rsidR="004F1473">
        <w:rPr>
          <w:rFonts w:eastAsiaTheme="minorEastAsia" w:cstheme="minorBidi"/>
        </w:rPr>
        <w:t>0.5</w:t>
      </w:r>
      <w:r w:rsidRPr="321F7F91" w:rsidR="00D11E4B">
        <w:rPr>
          <w:rFonts w:eastAsiaTheme="minorEastAsia" w:cstheme="minorBidi"/>
        </w:rPr>
        <w:t>, 0.75</w:t>
      </w:r>
      <w:r w:rsidRPr="321F7F91" w:rsidR="003416B5">
        <w:rPr>
          <w:rFonts w:eastAsiaTheme="minorEastAsia" w:cstheme="minorBidi"/>
        </w:rPr>
        <w:t>, 1</w:t>
      </w:r>
      <w:r w:rsidRPr="321F7F91" w:rsidR="001A42B0">
        <w:rPr>
          <w:rFonts w:eastAsiaTheme="minorEastAsia" w:cstheme="minorBidi"/>
        </w:rPr>
        <w:t>}</w:t>
      </w:r>
      <w:r w:rsidRPr="321F7F91" w:rsidR="00D11E4B">
        <w:rPr>
          <w:rFonts w:eastAsiaTheme="minorEastAsia" w:cstheme="minorBidi"/>
        </w:rPr>
        <w:t xml:space="preserve"> are designated as intermediate metabolisers.</w:t>
      </w:r>
      <w:r w:rsidRPr="321F7F91" w:rsidR="004F1473">
        <w:rPr>
          <w:rFonts w:eastAsiaTheme="minorEastAsia" w:cstheme="minorBidi"/>
        </w:rPr>
        <w:t xml:space="preserve"> </w:t>
      </w:r>
      <w:r w:rsidRPr="321F7F91" w:rsidR="00D11E4B">
        <w:rPr>
          <w:rFonts w:eastAsiaTheme="minorEastAsia" w:cstheme="minorBidi"/>
        </w:rPr>
        <w:t xml:space="preserve">Patients with </w:t>
      </w:r>
      <w:r w:rsidRPr="321F7F91" w:rsidR="00F44B61">
        <w:rPr>
          <w:rFonts w:eastAsiaTheme="minorEastAsia" w:cstheme="minorBidi"/>
        </w:rPr>
        <w:t>an activity score of</w:t>
      </w:r>
      <w:r w:rsidRPr="321F7F91" w:rsidR="004F1473">
        <w:rPr>
          <w:rFonts w:eastAsiaTheme="minorEastAsia" w:cstheme="minorBidi"/>
        </w:rPr>
        <w:t xml:space="preserve"> &gt;2</w:t>
      </w:r>
      <w:r w:rsidRPr="321F7F91" w:rsidR="007318B2">
        <w:rPr>
          <w:rFonts w:eastAsiaTheme="minorEastAsia" w:cstheme="minorBidi"/>
        </w:rPr>
        <w:t>.25</w:t>
      </w:r>
      <w:r w:rsidRPr="321F7F91" w:rsidR="004F1473">
        <w:rPr>
          <w:rFonts w:eastAsiaTheme="minorEastAsia" w:cstheme="minorBidi"/>
        </w:rPr>
        <w:t xml:space="preserve"> are designated as ultrarapid metaboli</w:t>
      </w:r>
      <w:r w:rsidRPr="321F7F91" w:rsidR="00445E6B">
        <w:rPr>
          <w:rFonts w:eastAsiaTheme="minorEastAsia" w:cstheme="minorBidi"/>
        </w:rPr>
        <w:t>s</w:t>
      </w:r>
      <w:r w:rsidRPr="321F7F91" w:rsidR="004F1473">
        <w:rPr>
          <w:rFonts w:eastAsiaTheme="minorEastAsia" w:cstheme="minorBidi"/>
        </w:rPr>
        <w:t xml:space="preserve">ers. Patients with </w:t>
      </w:r>
      <w:r w:rsidRPr="321F7F91" w:rsidR="00682569">
        <w:rPr>
          <w:rFonts w:eastAsiaTheme="minorEastAsia" w:cstheme="minorBidi"/>
        </w:rPr>
        <w:t>an activity score</w:t>
      </w:r>
      <w:r w:rsidRPr="321F7F91" w:rsidR="004F1473">
        <w:rPr>
          <w:rFonts w:eastAsiaTheme="minorEastAsia" w:cstheme="minorBidi"/>
        </w:rPr>
        <w:t xml:space="preserve"> </w:t>
      </w:r>
      <m:oMath>
        <m:r>
          <w:rPr>
            <w:rFonts w:ascii="Cambria Math" w:hAnsi="Cambria Math" w:cstheme="minorHAnsi"/>
          </w:rPr>
          <m:t>ϵ</m:t>
        </m:r>
      </m:oMath>
      <w:r w:rsidRPr="321F7F91" w:rsidR="00682569">
        <w:rPr>
          <w:rFonts w:eastAsiaTheme="minorEastAsia" w:cstheme="minorBidi"/>
        </w:rPr>
        <w:t xml:space="preserve"> </w:t>
      </w:r>
      <w:r w:rsidRPr="321F7F91" w:rsidR="479F3544">
        <w:rPr>
          <w:rFonts w:eastAsiaTheme="minorEastAsia" w:cstheme="minorBidi"/>
        </w:rPr>
        <w:t xml:space="preserve"> </w:t>
      </w:r>
      <w:r w:rsidRPr="321F7F91" w:rsidR="00682569">
        <w:rPr>
          <w:rFonts w:eastAsiaTheme="minorEastAsia" w:cstheme="minorBidi"/>
        </w:rPr>
        <w:t>{</w:t>
      </w:r>
      <w:r w:rsidRPr="321F7F91" w:rsidR="004F1473">
        <w:rPr>
          <w:rFonts w:eastAsiaTheme="minorEastAsia" w:cstheme="minorBidi"/>
        </w:rPr>
        <w:t>1</w:t>
      </w:r>
      <w:r w:rsidRPr="321F7F91" w:rsidR="00D11E4B">
        <w:rPr>
          <w:rFonts w:eastAsiaTheme="minorEastAsia" w:cstheme="minorBidi"/>
        </w:rPr>
        <w:t>.25</w:t>
      </w:r>
      <w:r w:rsidRPr="321F7F91" w:rsidR="004F1473">
        <w:rPr>
          <w:rFonts w:eastAsiaTheme="minorEastAsia" w:cstheme="minorBidi"/>
        </w:rPr>
        <w:t>, 1.5</w:t>
      </w:r>
      <w:r w:rsidRPr="321F7F91" w:rsidR="00D11E4B">
        <w:rPr>
          <w:rFonts w:eastAsiaTheme="minorEastAsia" w:cstheme="minorBidi"/>
        </w:rPr>
        <w:t>,</w:t>
      </w:r>
      <w:r w:rsidRPr="321F7F91" w:rsidR="00082031">
        <w:rPr>
          <w:rFonts w:eastAsiaTheme="minorEastAsia" w:cstheme="minorBidi"/>
        </w:rPr>
        <w:t xml:space="preserve"> </w:t>
      </w:r>
      <w:r w:rsidRPr="321F7F91" w:rsidR="00D11E4B">
        <w:rPr>
          <w:rFonts w:eastAsiaTheme="minorEastAsia" w:cstheme="minorBidi"/>
        </w:rPr>
        <w:t>2</w:t>
      </w:r>
      <w:r w:rsidRPr="321F7F91" w:rsidR="003416B5">
        <w:rPr>
          <w:rFonts w:eastAsiaTheme="minorEastAsia" w:cstheme="minorBidi"/>
        </w:rPr>
        <w:t>.0</w:t>
      </w:r>
      <w:r w:rsidRPr="321F7F91" w:rsidR="00682569">
        <w:rPr>
          <w:rFonts w:eastAsiaTheme="minorEastAsia" w:cstheme="minorBidi"/>
        </w:rPr>
        <w:t xml:space="preserve">, </w:t>
      </w:r>
      <w:r w:rsidRPr="321F7F91" w:rsidR="004F1473">
        <w:rPr>
          <w:rFonts w:eastAsiaTheme="minorEastAsia" w:cstheme="minorBidi"/>
        </w:rPr>
        <w:t>2</w:t>
      </w:r>
      <w:r w:rsidRPr="321F7F91" w:rsidR="00D11E4B">
        <w:rPr>
          <w:rFonts w:eastAsiaTheme="minorEastAsia" w:cstheme="minorBidi"/>
        </w:rPr>
        <w:t>.25</w:t>
      </w:r>
      <w:r w:rsidRPr="321F7F91" w:rsidR="00682569">
        <w:rPr>
          <w:rFonts w:eastAsiaTheme="minorEastAsia" w:cstheme="minorBidi"/>
        </w:rPr>
        <w:t>}</w:t>
      </w:r>
      <w:r w:rsidRPr="321F7F91" w:rsidR="004F1473">
        <w:rPr>
          <w:rFonts w:eastAsiaTheme="minorEastAsia" w:cstheme="minorBidi"/>
        </w:rPr>
        <w:t xml:space="preserve"> are designated as normal metaboli</w:t>
      </w:r>
      <w:r w:rsidRPr="321F7F91" w:rsidR="00445E6B">
        <w:rPr>
          <w:rFonts w:eastAsiaTheme="minorEastAsia" w:cstheme="minorBidi"/>
        </w:rPr>
        <w:t>s</w:t>
      </w:r>
      <w:r w:rsidRPr="321F7F91" w:rsidR="004F1473">
        <w:rPr>
          <w:rFonts w:eastAsiaTheme="minorEastAsia" w:cstheme="minorBidi"/>
        </w:rPr>
        <w:t>ers</w:t>
      </w:r>
      <w:r w:rsidRPr="321F7F91" w:rsidR="00A777E0">
        <w:rPr>
          <w:rFonts w:eastAsiaTheme="minorEastAsia" w:cstheme="minorBidi"/>
        </w:rPr>
        <w:t xml:space="preserve"> </w:t>
      </w:r>
      <w:r w:rsidRPr="321F7F91" w:rsidR="00DA4E1C">
        <w:rPr>
          <w:rFonts w:eastAsiaTheme="minorEastAsia" w:cstheme="minorBidi"/>
        </w:rPr>
        <w:fldChar w:fldCharType="begin"/>
      </w:r>
      <w:r w:rsidRPr="321F7F91" w:rsidR="005E0647">
        <w:rPr>
          <w:rFonts w:eastAsiaTheme="minorEastAsia" w:cstheme="minorBidi"/>
        </w:rPr>
        <w:instrText xml:space="preserve"> ADDIN ZOTERO_ITEM CSL_CITATION {"citationID":"ZOEqPacm","properties":{"formattedCitation":"(9)","plainCitation":"(9)","noteIndex":0},"citationItems":[{"id":1191,"uris":["http://zotero.org/users/5812412/items/CIXDQWZI"],"itemData":{"id":1191,"type":"article-journal","container-title":"Clinical and Translational Science","DOI":"10.1111/cts.12692","ISSN":"1752-8054, 1752-8062","issue":"1","journalAbbreviation":"Clin Transl Sci","language":"en","page":"116-124","source":"DOI.org (Crossref)","title":"Standardizing &lt;i&gt; &lt;span style=\"font-variant:small-caps;\"&gt;CYP&lt;/span&gt; 2D6 &lt;/i&gt; Genotype to Phenotype Translation: Consensus Recommendations from the Clinical Pharmacogenetics Implementation Consortium and Dutch Pharmacogenetics Working Group","title-short":"Standardizing &lt;i&gt; &lt;span style=\"font-variant","volume":"13","author":[{"family":"Caudle","given":"Kelly E."},{"family":"Sangkuhl","given":"Katrin"},{"family":"Whirl‐Carrillo","given":"Michelle"},{"family":"Swen","given":"Jesse J."},{"family":"Haidar","given":"Cyrine E."},{"family":"Klein","given":"Teri E."},{"family":"Gammal","given":"Roseann S."},{"family":"Relling","given":"Mary V."},{"family":"Scott","given":"Stuart A."},{"family":"Hertz","given":"Daniel L."},{"family":"Guchelaar","given":"Henk‐Jan"},{"family":"Gaedigk","given":"Andrea"}],"issued":{"date-parts":[["2020",1]]}}}],"schema":"https://github.com/citation-style-language/schema/raw/master/csl-citation.json"} </w:instrText>
      </w:r>
      <w:r w:rsidRPr="321F7F91" w:rsidR="00DA4E1C">
        <w:rPr>
          <w:rFonts w:eastAsiaTheme="minorEastAsia" w:cstheme="minorBidi"/>
        </w:rPr>
        <w:fldChar w:fldCharType="separate"/>
      </w:r>
      <w:r w:rsidRPr="321F7F91" w:rsidR="005E0647">
        <w:rPr>
          <w:rFonts w:eastAsiaTheme="minorEastAsia" w:cstheme="minorBidi"/>
          <w:noProof/>
        </w:rPr>
        <w:t>(9)</w:t>
      </w:r>
      <w:r w:rsidRPr="321F7F91" w:rsidR="00DA4E1C">
        <w:rPr>
          <w:rFonts w:eastAsiaTheme="minorEastAsia" w:cstheme="minorBidi"/>
        </w:rPr>
        <w:fldChar w:fldCharType="end"/>
      </w:r>
      <w:r w:rsidRPr="321F7F91" w:rsidR="00A777E0">
        <w:rPr>
          <w:rFonts w:eastAsiaTheme="minorEastAsia" w:cstheme="minorBidi"/>
        </w:rPr>
        <w:t>.</w:t>
      </w:r>
    </w:p>
    <w:p w:rsidRPr="001A42B0" w:rsidR="001A42B0" w:rsidP="4AF9E47B" w:rsidRDefault="001A42B0" w14:paraId="6E008601" w14:textId="77777777">
      <w:pPr>
        <w:autoSpaceDE w:val="0"/>
        <w:autoSpaceDN w:val="0"/>
        <w:adjustRightInd w:val="0"/>
        <w:spacing w:after="0"/>
        <w:rPr>
          <w:rStyle w:val="Strong"/>
          <w:rFonts w:asciiTheme="minorHAnsi" w:hAnsiTheme="minorHAnsi" w:eastAsiaTheme="minorEastAsia" w:cstheme="minorBidi"/>
        </w:rPr>
      </w:pPr>
    </w:p>
    <w:p w:rsidRPr="008914CF" w:rsidR="00BD7E2A" w:rsidP="4AF9E47B" w:rsidRDefault="009C3D0F" w14:paraId="6B9BBF7D" w14:textId="7C3BE92B">
      <w:pPr>
        <w:pStyle w:val="Heading2"/>
        <w:rPr>
          <w:rFonts w:asciiTheme="majorHAnsi" w:hAnsiTheme="majorHAnsi"/>
          <w:color w:val="2E74B5" w:themeColor="accent1" w:themeShade="BF"/>
          <w:sz w:val="26"/>
          <w:szCs w:val="26"/>
          <w:lang w:val="en-GB"/>
        </w:rPr>
      </w:pPr>
      <w:bookmarkStart w:name="_Toc84017837" w:id="27"/>
      <w:r w:rsidRPr="7430369C">
        <w:rPr>
          <w:rStyle w:val="Strong"/>
          <w:rFonts w:asciiTheme="majorHAnsi" w:hAnsiTheme="majorHAnsi"/>
          <w:color w:val="2E74B5" w:themeColor="accent1" w:themeShade="BF"/>
          <w:sz w:val="26"/>
          <w:szCs w:val="26"/>
          <w:lang w:val="en-GB"/>
        </w:rPr>
        <w:t>2.</w:t>
      </w:r>
      <w:r w:rsidRPr="7430369C" w:rsidR="6E520D93">
        <w:rPr>
          <w:rStyle w:val="Strong"/>
          <w:rFonts w:asciiTheme="majorHAnsi" w:hAnsiTheme="majorHAnsi"/>
          <w:color w:val="2E74B5" w:themeColor="accent1" w:themeShade="BF"/>
          <w:sz w:val="26"/>
          <w:szCs w:val="26"/>
          <w:lang w:val="en-GB"/>
        </w:rPr>
        <w:t>6</w:t>
      </w:r>
      <w:r w:rsidRPr="7430369C">
        <w:rPr>
          <w:rStyle w:val="Strong"/>
          <w:rFonts w:asciiTheme="majorHAnsi" w:hAnsiTheme="majorHAnsi"/>
          <w:color w:val="2E74B5" w:themeColor="accent1" w:themeShade="BF"/>
          <w:sz w:val="26"/>
          <w:szCs w:val="26"/>
          <w:lang w:val="en-GB"/>
        </w:rPr>
        <w:t xml:space="preserve"> </w:t>
      </w:r>
      <w:bookmarkEnd w:id="27"/>
      <w:r w:rsidRPr="7430369C" w:rsidR="00C94FBE">
        <w:rPr>
          <w:rStyle w:val="Strong"/>
          <w:rFonts w:asciiTheme="majorHAnsi" w:hAnsiTheme="majorHAnsi"/>
          <w:color w:val="2E74B5" w:themeColor="accent1" w:themeShade="BF"/>
          <w:sz w:val="26"/>
          <w:szCs w:val="26"/>
          <w:lang w:val="en-GB"/>
        </w:rPr>
        <w:t xml:space="preserve">Drug </w:t>
      </w:r>
      <w:r w:rsidRPr="7430369C" w:rsidR="00A45845">
        <w:rPr>
          <w:rStyle w:val="Strong"/>
          <w:rFonts w:asciiTheme="majorHAnsi" w:hAnsiTheme="majorHAnsi"/>
          <w:color w:val="2E74B5" w:themeColor="accent1" w:themeShade="BF"/>
          <w:sz w:val="26"/>
          <w:szCs w:val="26"/>
          <w:lang w:val="en-GB"/>
        </w:rPr>
        <w:t>interventions</w:t>
      </w:r>
      <w:r w:rsidRPr="7430369C" w:rsidR="00C94FBE">
        <w:rPr>
          <w:rStyle w:val="Strong"/>
          <w:rFonts w:asciiTheme="majorHAnsi" w:hAnsiTheme="majorHAnsi"/>
          <w:color w:val="2E74B5" w:themeColor="accent1" w:themeShade="BF"/>
          <w:sz w:val="26"/>
          <w:szCs w:val="26"/>
          <w:lang w:val="en-GB"/>
        </w:rPr>
        <w:t xml:space="preserve"> and </w:t>
      </w:r>
      <w:r w:rsidRPr="7430369C" w:rsidR="00CF640E">
        <w:rPr>
          <w:rStyle w:val="Strong"/>
          <w:rFonts w:asciiTheme="majorHAnsi" w:hAnsiTheme="majorHAnsi"/>
          <w:color w:val="2E74B5" w:themeColor="accent1" w:themeShade="BF"/>
          <w:sz w:val="26"/>
          <w:szCs w:val="26"/>
          <w:lang w:val="en-GB"/>
        </w:rPr>
        <w:t>predictors</w:t>
      </w:r>
      <w:r w:rsidRPr="7430369C" w:rsidR="00C94FBE">
        <w:rPr>
          <w:rStyle w:val="Strong"/>
          <w:rFonts w:asciiTheme="majorHAnsi" w:hAnsiTheme="majorHAnsi"/>
          <w:color w:val="2E74B5" w:themeColor="accent1" w:themeShade="BF"/>
          <w:sz w:val="26"/>
          <w:szCs w:val="26"/>
          <w:lang w:val="en-GB"/>
        </w:rPr>
        <w:t xml:space="preserve"> of interest</w:t>
      </w:r>
    </w:p>
    <w:p w:rsidR="00A45845" w:rsidP="4AF9E47B" w:rsidRDefault="00A45845" w14:paraId="1C0C347A" w14:textId="77777777">
      <w:pPr>
        <w:jc w:val="both"/>
        <w:rPr>
          <w:b/>
          <w:bCs/>
        </w:rPr>
      </w:pPr>
      <w:bookmarkStart w:name="_Toc457660149" w:id="28"/>
      <w:r w:rsidRPr="4AF9E47B">
        <w:rPr>
          <w:b/>
          <w:bCs/>
        </w:rPr>
        <w:t>Drug interventions</w:t>
      </w:r>
    </w:p>
    <w:p w:rsidR="009C3D0F" w:rsidP="4AF9E47B" w:rsidRDefault="009C3D0F" w14:paraId="4C7C1AA7" w14:textId="44E8D684">
      <w:pPr>
        <w:jc w:val="both"/>
      </w:pPr>
      <w:r w:rsidRPr="4AF9E47B">
        <w:t>The doses of treatment received</w:t>
      </w:r>
      <w:r w:rsidRPr="4AF9E47B" w:rsidR="003E3B31">
        <w:t xml:space="preserve">, </w:t>
      </w:r>
      <w:r w:rsidRPr="4AF9E47B" w:rsidR="008C1544">
        <w:t>i.e.,</w:t>
      </w:r>
      <w:r w:rsidRPr="4AF9E47B">
        <w:t xml:space="preserve"> primaquine, chloroquine,</w:t>
      </w:r>
      <w:r w:rsidR="00800AFF">
        <w:t xml:space="preserve"> quinine,</w:t>
      </w:r>
      <w:r w:rsidRPr="4AF9E47B">
        <w:t xml:space="preserve"> </w:t>
      </w:r>
      <w:r w:rsidRPr="4AF9E47B" w:rsidR="003E3B31">
        <w:t xml:space="preserve">and </w:t>
      </w:r>
      <w:r w:rsidRPr="4AF9E47B" w:rsidR="007B7A5D">
        <w:t>artemisinin-based combination therapy</w:t>
      </w:r>
      <w:r w:rsidRPr="4AF9E47B" w:rsidR="003E3B31">
        <w:t>,</w:t>
      </w:r>
      <w:r w:rsidRPr="4AF9E47B">
        <w:t xml:space="preserve"> will be calculated from the number of daily tablets administered to each patient. If the daily tablet counts are not available, doses will be </w:t>
      </w:r>
      <w:proofErr w:type="gramStart"/>
      <w:r w:rsidRPr="4AF9E47B">
        <w:t>back-calculated</w:t>
      </w:r>
      <w:proofErr w:type="gramEnd"/>
      <w:r w:rsidRPr="4AF9E47B">
        <w:t xml:space="preserve"> using the dosing scheme </w:t>
      </w:r>
      <w:r w:rsidRPr="4AF9E47B" w:rsidR="008C1544">
        <w:t>available</w:t>
      </w:r>
      <w:r w:rsidRPr="4AF9E47B">
        <w:t xml:space="preserve"> from study protocols. For each component, a total dose per weight will be calculated for each patient.</w:t>
      </w:r>
    </w:p>
    <w:p w:rsidR="00A45845" w:rsidP="4AF9E47B" w:rsidRDefault="00CF640E" w14:paraId="63E9584B" w14:textId="2D8DD7CA">
      <w:pPr>
        <w:jc w:val="both"/>
        <w:rPr>
          <w:b/>
          <w:bCs/>
        </w:rPr>
      </w:pPr>
      <w:r w:rsidRPr="4AF9E47B">
        <w:rPr>
          <w:b/>
          <w:bCs/>
        </w:rPr>
        <w:t>Predictor</w:t>
      </w:r>
      <w:r w:rsidRPr="4AF9E47B" w:rsidR="00DD5194">
        <w:rPr>
          <w:b/>
          <w:bCs/>
        </w:rPr>
        <w:t xml:space="preserve"> of interest</w:t>
      </w:r>
    </w:p>
    <w:p w:rsidRPr="00CF640E" w:rsidR="00CF640E" w:rsidP="4AF9E47B" w:rsidRDefault="00BD7E2A" w14:paraId="76910838" w14:textId="1D07811B">
      <w:pPr>
        <w:jc w:val="both"/>
      </w:pPr>
      <w:r w:rsidRPr="4AF9E47B">
        <w:t xml:space="preserve">Using individual-level longitudinal data of </w:t>
      </w:r>
      <w:r w:rsidRPr="4AF9E47B" w:rsidR="00560012">
        <w:t xml:space="preserve">plasma </w:t>
      </w:r>
      <w:r w:rsidRPr="4AF9E47B">
        <w:t xml:space="preserve">methaemoglobin </w:t>
      </w:r>
      <w:r w:rsidRPr="4AF9E47B" w:rsidR="007A6F6B">
        <w:t>(</w:t>
      </w:r>
      <w:r w:rsidR="00845867">
        <w:t xml:space="preserve">as </w:t>
      </w:r>
      <w:r w:rsidRPr="4AF9E47B" w:rsidR="007A6F6B">
        <w:t>a percentage of the haemoglobin level)</w:t>
      </w:r>
      <w:r w:rsidRPr="4AF9E47B">
        <w:t xml:space="preserve">, </w:t>
      </w:r>
      <w:r w:rsidR="00F86A5F">
        <w:t>the d</w:t>
      </w:r>
      <w:r w:rsidRPr="00BF1435" w:rsidR="00F86A5F">
        <w:t>ay-7 methaemoglobin concentration</w:t>
      </w:r>
      <w:r w:rsidR="00F86A5F">
        <w:t xml:space="preserve"> </w:t>
      </w:r>
      <w:r w:rsidR="00C01C2B">
        <w:t>is the main predictor of interest, representing</w:t>
      </w:r>
      <w:r w:rsidRPr="00BF1435" w:rsidR="00F86A5F">
        <w:t xml:space="preserve"> </w:t>
      </w:r>
      <w:r w:rsidR="00B63C39">
        <w:t>an</w:t>
      </w:r>
      <w:r w:rsidRPr="4AF9E47B" w:rsidR="00171619">
        <w:t xml:space="preserve"> individual's</w:t>
      </w:r>
      <w:r w:rsidRPr="4AF9E47B">
        <w:t xml:space="preserve"> exposure to the primaquine active metabolites</w:t>
      </w:r>
      <w:r w:rsidR="00B63C39">
        <w:t>.</w:t>
      </w:r>
    </w:p>
    <w:p w:rsidRPr="00BF1435" w:rsidR="00DD5194" w:rsidP="005504E6" w:rsidRDefault="00DD5194" w14:paraId="798C6C48" w14:textId="3C98843C">
      <w:pPr>
        <w:jc w:val="both"/>
      </w:pPr>
      <w:r w:rsidRPr="00BF1435">
        <w:t>Day-7 methaemoglobin concentration (C</w:t>
      </w:r>
      <w:r w:rsidRPr="00BF1435">
        <w:rPr>
          <w:vertAlign w:val="subscript"/>
        </w:rPr>
        <w:t>day-7</w:t>
      </w:r>
      <w:r w:rsidRPr="00BF1435">
        <w:t>)</w:t>
      </w:r>
      <w:r w:rsidR="00F55119">
        <w:t xml:space="preserve"> is defined as</w:t>
      </w:r>
      <w:r w:rsidRPr="00BF1435" w:rsidR="0095341F">
        <w:t xml:space="preserve"> the </w:t>
      </w:r>
      <w:r w:rsidRPr="00BF1435" w:rsidR="00E44899">
        <w:t>methaemoglobin level measured on day 7 after</w:t>
      </w:r>
      <w:r w:rsidRPr="00BF1435" w:rsidR="003A555E">
        <w:t xml:space="preserve"> the</w:t>
      </w:r>
      <w:r w:rsidRPr="00BF1435" w:rsidR="00E44899">
        <w:t xml:space="preserve"> initial primaquine administration.</w:t>
      </w:r>
    </w:p>
    <w:p w:rsidR="00BD7E2A" w:rsidP="4AF9E47B" w:rsidRDefault="004E1E3A" w14:paraId="484957E1" w14:textId="61B2844A">
      <w:pPr>
        <w:jc w:val="both"/>
      </w:pPr>
      <w:r w:rsidRPr="4AF9E47B">
        <w:t>C</w:t>
      </w:r>
      <w:r w:rsidRPr="4AF9E47B">
        <w:rPr>
          <w:vertAlign w:val="subscript"/>
        </w:rPr>
        <w:t>day-7</w:t>
      </w:r>
      <w:r>
        <w:t xml:space="preserve"> will be m</w:t>
      </w:r>
      <w:r w:rsidRPr="4AF9E47B" w:rsidR="00BD7E2A">
        <w:t>odelled as the predictor</w:t>
      </w:r>
      <w:r w:rsidRPr="4AF9E47B" w:rsidR="00FA0F0E">
        <w:t xml:space="preserve"> </w:t>
      </w:r>
      <w:r w:rsidRPr="4AF9E47B" w:rsidR="00BD7E2A">
        <w:t xml:space="preserve">for primaquine </w:t>
      </w:r>
      <w:proofErr w:type="spellStart"/>
      <w:r w:rsidRPr="4AF9E47B" w:rsidR="00BD7E2A">
        <w:t>antirelapse</w:t>
      </w:r>
      <w:proofErr w:type="spellEnd"/>
      <w:r w:rsidRPr="4AF9E47B" w:rsidR="00BD7E2A">
        <w:t xml:space="preserve"> </w:t>
      </w:r>
      <w:r w:rsidRPr="4AF9E47B" w:rsidR="009020F6">
        <w:t>activity</w:t>
      </w:r>
      <w:r w:rsidRPr="4AF9E47B" w:rsidR="00BD7E2A">
        <w:t xml:space="preserve">, as guided by a </w:t>
      </w:r>
      <w:r w:rsidRPr="4AF9E47B" w:rsidR="004D4661">
        <w:t>causal directed</w:t>
      </w:r>
      <w:r w:rsidRPr="4AF9E47B" w:rsidR="00522ABF">
        <w:t xml:space="preserve"> acyclic graph</w:t>
      </w:r>
      <w:r w:rsidRPr="4AF9E47B" w:rsidR="00BD7E2A">
        <w:t xml:space="preserve"> below.</w:t>
      </w:r>
    </w:p>
    <w:p w:rsidR="00560012" w:rsidP="4AF9E47B" w:rsidRDefault="00800AFF" w14:paraId="65243AD4" w14:textId="220DBEC1">
      <w:pPr>
        <w:jc w:val="center"/>
      </w:pPr>
      <w:r>
        <w:rPr>
          <w:rStyle w:val="wacimagecontainer"/>
          <w:rFonts w:ascii="Segoe UI" w:hAnsi="Segoe UI" w:cs="Segoe UI"/>
          <w:noProof/>
          <w:color w:val="000000"/>
          <w:sz w:val="18"/>
          <w:szCs w:val="18"/>
          <w:shd w:val="clear" w:color="auto" w:fill="FFFFFF"/>
        </w:rPr>
        <w:drawing>
          <wp:inline distT="0" distB="0" distL="0" distR="0" wp14:anchorId="6F91B9F9" wp14:editId="4ED3C4DE">
            <wp:extent cx="4637902" cy="2043865"/>
            <wp:effectExtent l="0" t="0" r="0" b="1270"/>
            <wp:docPr id="1189571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441" cy="2062171"/>
                    </a:xfrm>
                    <a:prstGeom prst="rect">
                      <a:avLst/>
                    </a:prstGeom>
                    <a:noFill/>
                    <a:ln>
                      <a:noFill/>
                    </a:ln>
                  </pic:spPr>
                </pic:pic>
              </a:graphicData>
            </a:graphic>
          </wp:inline>
        </w:drawing>
      </w:r>
      <w:r>
        <w:rPr>
          <w:rFonts w:ascii="Calibri Light" w:hAnsi="Calibri Light" w:cs="Calibri Light"/>
          <w:b/>
          <w:bCs/>
          <w:color w:val="000000"/>
          <w:shd w:val="clear" w:color="auto" w:fill="FFFFFF"/>
        </w:rPr>
        <w:br/>
      </w:r>
    </w:p>
    <w:p w:rsidR="005F2A67" w:rsidP="4AF9E47B" w:rsidRDefault="000009B4" w14:paraId="2A78357A" w14:textId="636B754A">
      <w:pPr>
        <w:jc w:val="both"/>
      </w:pPr>
      <w:r w:rsidRPr="4AF9E47B">
        <w:t xml:space="preserve">Under this causal model, methaemoglobin production does not directly affect the risk of </w:t>
      </w:r>
      <w:r w:rsidRPr="4AF9E47B">
        <w:rPr>
          <w:i/>
          <w:iCs/>
        </w:rPr>
        <w:t xml:space="preserve">P. vivax </w:t>
      </w:r>
      <w:r w:rsidRPr="4AF9E47B">
        <w:t>relapse</w:t>
      </w:r>
      <w:r w:rsidRPr="4AF9E47B" w:rsidR="00DB7C8D">
        <w:t>. However, methaemoglobin and relapse</w:t>
      </w:r>
      <w:r w:rsidR="00B54B23">
        <w:t xml:space="preserve"> </w:t>
      </w:r>
      <w:r w:rsidRPr="4AF9E47B">
        <w:t>share common cause</w:t>
      </w:r>
      <w:r w:rsidRPr="4AF9E47B" w:rsidR="00876056">
        <w:t>s</w:t>
      </w:r>
      <w:r w:rsidRPr="4AF9E47B" w:rsidR="00514576">
        <w:t xml:space="preserve">, which </w:t>
      </w:r>
      <w:r w:rsidRPr="4AF9E47B" w:rsidR="00876056">
        <w:t>may be</w:t>
      </w:r>
      <w:r w:rsidRPr="4AF9E47B" w:rsidR="00514576">
        <w:t xml:space="preserve"> </w:t>
      </w:r>
      <w:r w:rsidRPr="4AF9E47B" w:rsidR="00876056">
        <w:t xml:space="preserve">partially or completely unobserved. </w:t>
      </w:r>
      <w:r w:rsidRPr="4AF9E47B" w:rsidR="00AD3504">
        <w:t xml:space="preserve">Therefore, methaemoglobin </w:t>
      </w:r>
      <w:r w:rsidRPr="4AF9E47B" w:rsidR="00832E62">
        <w:t>concentrations</w:t>
      </w:r>
      <w:r w:rsidRPr="4AF9E47B" w:rsidR="00AD3504">
        <w:t xml:space="preserve"> </w:t>
      </w:r>
      <w:r w:rsidRPr="4AF9E47B" w:rsidR="00D638F5">
        <w:t>could</w:t>
      </w:r>
      <w:r w:rsidRPr="4AF9E47B" w:rsidR="00AD3504">
        <w:t xml:space="preserve"> play a role as a </w:t>
      </w:r>
      <w:r w:rsidRPr="4AF9E47B" w:rsidR="00755A4C">
        <w:t xml:space="preserve">pharmacodynamic </w:t>
      </w:r>
      <w:r w:rsidRPr="4AF9E47B" w:rsidR="00AD3504">
        <w:t xml:space="preserve">proxy of </w:t>
      </w:r>
      <w:r w:rsidRPr="4AF9E47B" w:rsidR="00950C85">
        <w:t>the</w:t>
      </w:r>
      <w:r w:rsidRPr="4AF9E47B" w:rsidR="00AD3504">
        <w:t xml:space="preserve"> active metabolites to predict relapse.</w:t>
      </w:r>
      <w:r w:rsidRPr="4AF9E47B" w:rsidR="00FA0F0E">
        <w:t xml:space="preserve"> </w:t>
      </w:r>
      <w:r w:rsidRPr="4AF9E47B" w:rsidR="002A20CF">
        <w:t>Potential h</w:t>
      </w:r>
      <w:r w:rsidRPr="4AF9E47B" w:rsidR="00FA0F0E">
        <w:t>ost factors</w:t>
      </w:r>
      <w:r w:rsidR="00614E11">
        <w:t xml:space="preserve"> </w:t>
      </w:r>
      <w:r w:rsidRPr="4AF9E47B" w:rsidR="00FA0F0E">
        <w:t>include</w:t>
      </w:r>
      <w:r w:rsidRPr="4AF9E47B" w:rsidR="00DC24F7">
        <w:t xml:space="preserve">, but </w:t>
      </w:r>
      <w:r w:rsidRPr="4AF9E47B" w:rsidR="00B37649">
        <w:t xml:space="preserve">are </w:t>
      </w:r>
      <w:r w:rsidRPr="4AF9E47B" w:rsidR="00DC24F7">
        <w:t xml:space="preserve">not limited </w:t>
      </w:r>
      <w:proofErr w:type="gramStart"/>
      <w:r w:rsidRPr="4AF9E47B" w:rsidR="00DC24F7">
        <w:t>to</w:t>
      </w:r>
      <w:r w:rsidR="00FB7DC6">
        <w:t>:</w:t>
      </w:r>
      <w:proofErr w:type="gramEnd"/>
      <w:r w:rsidRPr="4AF9E47B" w:rsidR="00FA0F0E">
        <w:t xml:space="preserve"> </w:t>
      </w:r>
      <w:r w:rsidRPr="4AF9E47B" w:rsidR="00E27DE4">
        <w:t xml:space="preserve">age, sex, </w:t>
      </w:r>
      <w:r w:rsidRPr="4AF9E47B" w:rsidR="008D183C">
        <w:t xml:space="preserve">body </w:t>
      </w:r>
      <w:r w:rsidRPr="4AF9E47B" w:rsidR="00B37649">
        <w:t>weight</w:t>
      </w:r>
      <w:r w:rsidRPr="4AF9E47B" w:rsidR="00FA0F0E">
        <w:t xml:space="preserve">, </w:t>
      </w:r>
      <w:r w:rsidRPr="00AE259B" w:rsidR="00FA0F0E">
        <w:rPr>
          <w:i/>
          <w:iCs/>
        </w:rPr>
        <w:t>CYP2D6</w:t>
      </w:r>
      <w:r w:rsidRPr="4AF9E47B" w:rsidR="00FA0F0E">
        <w:t xml:space="preserve"> </w:t>
      </w:r>
      <w:r w:rsidRPr="4AF9E47B" w:rsidR="00B37649">
        <w:t>polymorphisms, enzyme</w:t>
      </w:r>
      <w:r w:rsidRPr="4AF9E47B" w:rsidR="008914CF">
        <w:t xml:space="preserve"> maturation</w:t>
      </w:r>
      <w:r w:rsidR="00AB4A38">
        <w:t xml:space="preserve"> (including G6PD)</w:t>
      </w:r>
      <w:r w:rsidRPr="4AF9E47B" w:rsidR="008914CF">
        <w:t>,</w:t>
      </w:r>
      <w:r w:rsidRPr="4AF9E47B" w:rsidR="00FA0F0E">
        <w:t xml:space="preserve"> drug-drug interactions</w:t>
      </w:r>
      <w:r w:rsidR="001E2BB5">
        <w:t xml:space="preserve">, and </w:t>
      </w:r>
      <w:r w:rsidR="00047264">
        <w:t>patient location</w:t>
      </w:r>
      <w:r w:rsidRPr="4AF9E47B" w:rsidR="00E71AF4">
        <w:t>.</w:t>
      </w:r>
    </w:p>
    <w:p w:rsidR="005F2A67" w:rsidRDefault="005F2A67" w14:paraId="2C7F8967" w14:textId="77777777">
      <w:pPr>
        <w:spacing w:after="0" w:line="240" w:lineRule="auto"/>
      </w:pPr>
      <w:r>
        <w:br w:type="page"/>
      </w:r>
    </w:p>
    <w:p w:rsidRPr="003F41FF" w:rsidR="00457F3C" w:rsidP="4AF9E47B" w:rsidRDefault="00457F3C" w14:paraId="19855958" w14:textId="47DAD45B">
      <w:pPr>
        <w:pStyle w:val="Heading2"/>
        <w:rPr>
          <w:rFonts w:asciiTheme="majorHAnsi" w:hAnsiTheme="majorHAnsi"/>
          <w:color w:val="2E74B5" w:themeColor="accent1" w:themeShade="BF"/>
          <w:sz w:val="26"/>
          <w:szCs w:val="26"/>
          <w:lang w:val="en-GB"/>
        </w:rPr>
      </w:pPr>
      <w:bookmarkStart w:name="_Toc84017838" w:id="29"/>
      <w:r w:rsidRPr="7430369C">
        <w:rPr>
          <w:rStyle w:val="Strong"/>
          <w:rFonts w:asciiTheme="majorHAnsi" w:hAnsiTheme="majorHAnsi"/>
          <w:color w:val="2E74B5" w:themeColor="accent1" w:themeShade="BF"/>
          <w:sz w:val="26"/>
          <w:szCs w:val="26"/>
          <w:lang w:val="en-GB"/>
        </w:rPr>
        <w:t>2.</w:t>
      </w:r>
      <w:r w:rsidRPr="7430369C" w:rsidR="4D1D60AA">
        <w:rPr>
          <w:rStyle w:val="Strong"/>
          <w:rFonts w:asciiTheme="majorHAnsi" w:hAnsiTheme="majorHAnsi"/>
          <w:color w:val="2E74B5" w:themeColor="accent1" w:themeShade="BF"/>
          <w:sz w:val="26"/>
          <w:szCs w:val="26"/>
          <w:lang w:val="en-GB"/>
        </w:rPr>
        <w:t>7</w:t>
      </w:r>
      <w:r w:rsidRPr="7430369C">
        <w:rPr>
          <w:rStyle w:val="Strong"/>
          <w:rFonts w:asciiTheme="majorHAnsi" w:hAnsiTheme="majorHAnsi"/>
          <w:color w:val="2E74B5" w:themeColor="accent1" w:themeShade="BF"/>
          <w:sz w:val="26"/>
          <w:szCs w:val="26"/>
          <w:lang w:val="en-GB"/>
        </w:rPr>
        <w:t xml:space="preserve"> Summary of statistical analyses</w:t>
      </w:r>
      <w:bookmarkEnd w:id="28"/>
      <w:bookmarkEnd w:id="29"/>
    </w:p>
    <w:p w:rsidRPr="00912466" w:rsidR="00457F3C" w:rsidP="007B683C" w:rsidRDefault="00457F3C" w14:paraId="2BC15538" w14:textId="46BC751B">
      <w:pPr>
        <w:pStyle w:val="ListParagraph"/>
        <w:numPr>
          <w:ilvl w:val="0"/>
          <w:numId w:val="6"/>
        </w:numPr>
        <w:ind w:left="567" w:hanging="567"/>
        <w:rPr>
          <w:rStyle w:val="Strong"/>
          <w:b/>
          <w:bCs/>
          <w:lang w:val="en-GB"/>
        </w:rPr>
      </w:pPr>
      <w:r w:rsidRPr="4AF9E47B">
        <w:rPr>
          <w:rStyle w:val="Strong"/>
          <w:b/>
          <w:bCs/>
          <w:lang w:val="en-GB"/>
        </w:rPr>
        <w:t>Description and characteristics of stud</w:t>
      </w:r>
      <w:r w:rsidRPr="4AF9E47B" w:rsidR="00D26437">
        <w:rPr>
          <w:rStyle w:val="Strong"/>
          <w:b/>
          <w:bCs/>
          <w:lang w:val="en-GB"/>
        </w:rPr>
        <w:t>ies</w:t>
      </w:r>
    </w:p>
    <w:p w:rsidRPr="002A7E33" w:rsidR="00457F3C" w:rsidP="002A7E33" w:rsidRDefault="00457F3C" w14:paraId="32EF0D6D" w14:textId="152CB305">
      <w:pPr>
        <w:jc w:val="both"/>
        <w:rPr>
          <w:rFonts w:cstheme="minorBidi"/>
          <w:color w:val="000000" w:themeColor="text1"/>
        </w:rPr>
      </w:pPr>
      <w:r w:rsidRPr="002A7E33">
        <w:rPr>
          <w:rFonts w:cstheme="minorBidi"/>
          <w:color w:val="000000" w:themeColor="text1"/>
        </w:rPr>
        <w:t xml:space="preserve">A </w:t>
      </w:r>
      <w:r w:rsidRPr="002A7E33" w:rsidR="00D26437">
        <w:rPr>
          <w:rFonts w:cstheme="minorBidi"/>
          <w:color w:val="000000" w:themeColor="text1"/>
        </w:rPr>
        <w:t xml:space="preserve">profile </w:t>
      </w:r>
      <w:r w:rsidRPr="002A7E33">
        <w:rPr>
          <w:rFonts w:cstheme="minorBidi"/>
          <w:color w:val="000000" w:themeColor="text1"/>
        </w:rPr>
        <w:t xml:space="preserve">summary of the relevant </w:t>
      </w:r>
      <w:r w:rsidRPr="002A7E33" w:rsidR="00D26437">
        <w:rPr>
          <w:rFonts w:cstheme="minorBidi"/>
          <w:color w:val="000000" w:themeColor="text1"/>
        </w:rPr>
        <w:t>studies</w:t>
      </w:r>
      <w:r w:rsidRPr="002A7E33">
        <w:rPr>
          <w:rFonts w:cstheme="minorBidi"/>
          <w:color w:val="000000" w:themeColor="text1"/>
        </w:rPr>
        <w:t xml:space="preserve"> uploaded to the WWARN repository will be presented to highlight potential </w:t>
      </w:r>
      <w:r w:rsidRPr="002A7E33" w:rsidR="000A016E">
        <w:rPr>
          <w:rFonts w:cstheme="minorBidi"/>
          <w:color w:val="000000" w:themeColor="text1"/>
        </w:rPr>
        <w:t>heterogeneity</w:t>
      </w:r>
      <w:r w:rsidRPr="002A7E33" w:rsidR="00E909DE">
        <w:rPr>
          <w:rFonts w:cstheme="minorBidi"/>
          <w:color w:val="000000" w:themeColor="text1"/>
        </w:rPr>
        <w:t>.</w:t>
      </w:r>
    </w:p>
    <w:p w:rsidRPr="002A7E33" w:rsidR="00457F3C" w:rsidP="002A7E33" w:rsidRDefault="00457F3C" w14:paraId="757AB3B0" w14:textId="3C29D162">
      <w:pPr>
        <w:ind w:left="-11"/>
        <w:jc w:val="both"/>
        <w:rPr>
          <w:rFonts w:cstheme="minorBidi"/>
          <w:color w:val="000000" w:themeColor="text1"/>
        </w:rPr>
      </w:pPr>
      <w:r w:rsidRPr="002A7E33">
        <w:rPr>
          <w:rFonts w:cstheme="minorBidi"/>
          <w:color w:val="000000" w:themeColor="text1"/>
        </w:rPr>
        <w:t xml:space="preserve">A summary of the relevant studies will be presented, including (but not restricted to) treatment </w:t>
      </w:r>
      <w:r w:rsidRPr="002A7E33" w:rsidR="007B7B50">
        <w:rPr>
          <w:rFonts w:cstheme="minorBidi"/>
          <w:color w:val="000000" w:themeColor="text1"/>
        </w:rPr>
        <w:t xml:space="preserve">given, </w:t>
      </w:r>
      <w:r w:rsidRPr="002A7E33" w:rsidR="008C1544">
        <w:rPr>
          <w:rFonts w:cstheme="minorBidi"/>
          <w:color w:val="000000" w:themeColor="text1"/>
        </w:rPr>
        <w:t>follow-up</w:t>
      </w:r>
      <w:r w:rsidRPr="002A7E33">
        <w:rPr>
          <w:rFonts w:cstheme="minorBidi"/>
          <w:color w:val="000000" w:themeColor="text1"/>
        </w:rPr>
        <w:t xml:space="preserve"> duration, study populations, description of location by country, transmission </w:t>
      </w:r>
      <w:r w:rsidRPr="002A7E33" w:rsidR="00A127B9">
        <w:rPr>
          <w:rFonts w:cstheme="minorBidi"/>
          <w:color w:val="000000" w:themeColor="text1"/>
        </w:rPr>
        <w:t>intensity</w:t>
      </w:r>
      <w:r w:rsidRPr="002A7E33">
        <w:rPr>
          <w:rFonts w:cstheme="minorBidi"/>
          <w:color w:val="000000" w:themeColor="text1"/>
        </w:rPr>
        <w:t>, regional relapse periodicity</w:t>
      </w:r>
      <w:r w:rsidRPr="002A7E33" w:rsidR="008A0EF4">
        <w:rPr>
          <w:rFonts w:cstheme="minorBidi"/>
          <w:color w:val="000000" w:themeColor="text1"/>
        </w:rPr>
        <w:t>,</w:t>
      </w:r>
      <w:r w:rsidRPr="002A7E33" w:rsidR="00F23D89">
        <w:rPr>
          <w:rFonts w:cstheme="minorBidi"/>
          <w:color w:val="000000" w:themeColor="text1"/>
        </w:rPr>
        <w:t xml:space="preserve"> </w:t>
      </w:r>
      <w:r w:rsidRPr="002A7E33" w:rsidR="008A0EF4">
        <w:rPr>
          <w:rFonts w:cstheme="minorBidi"/>
          <w:color w:val="000000" w:themeColor="text1"/>
        </w:rPr>
        <w:t>timing,</w:t>
      </w:r>
      <w:r w:rsidRPr="002A7E33" w:rsidR="00F23D89">
        <w:rPr>
          <w:rFonts w:cstheme="minorBidi"/>
          <w:color w:val="000000" w:themeColor="text1"/>
        </w:rPr>
        <w:t xml:space="preserve"> and dosing of primaquine administration, and day of measurement of methaemoglobin concentrations</w:t>
      </w:r>
      <w:r w:rsidRPr="002A7E33">
        <w:rPr>
          <w:rFonts w:cstheme="minorBidi"/>
          <w:color w:val="000000" w:themeColor="text1"/>
        </w:rPr>
        <w:t xml:space="preserve">. </w:t>
      </w:r>
    </w:p>
    <w:p w:rsidRPr="002A7E33" w:rsidR="000D0300" w:rsidP="002A7E33" w:rsidRDefault="004924B7" w14:paraId="127B3737" w14:textId="038344E0">
      <w:pPr>
        <w:spacing w:after="0"/>
        <w:ind w:left="-11"/>
        <w:jc w:val="both"/>
        <w:rPr>
          <w:rFonts w:cstheme="minorBidi"/>
          <w:color w:val="000000" w:themeColor="text1"/>
        </w:rPr>
      </w:pPr>
      <w:r w:rsidRPr="002A7E33">
        <w:rPr>
          <w:rFonts w:cstheme="minorBidi"/>
          <w:color w:val="000000" w:themeColor="text1"/>
        </w:rPr>
        <w:t xml:space="preserve">A comparison table of the summary statistics of studies that were </w:t>
      </w:r>
      <w:r w:rsidRPr="002A7E33" w:rsidR="000A016E">
        <w:rPr>
          <w:rFonts w:cstheme="minorBidi"/>
          <w:color w:val="000000" w:themeColor="text1"/>
        </w:rPr>
        <w:t>eligible</w:t>
      </w:r>
      <w:r w:rsidRPr="002A7E33">
        <w:rPr>
          <w:rFonts w:cstheme="minorBidi"/>
          <w:color w:val="000000" w:themeColor="text1"/>
        </w:rPr>
        <w:t xml:space="preserve"> but not </w:t>
      </w:r>
      <w:r w:rsidRPr="002A7E33" w:rsidR="000A016E">
        <w:rPr>
          <w:rFonts w:cstheme="minorBidi"/>
          <w:color w:val="000000" w:themeColor="text1"/>
        </w:rPr>
        <w:t>available</w:t>
      </w:r>
      <w:r w:rsidRPr="002A7E33">
        <w:rPr>
          <w:rFonts w:cstheme="minorBidi"/>
          <w:color w:val="000000" w:themeColor="text1"/>
        </w:rPr>
        <w:t xml:space="preserve"> will be presented to allow evaluation of inclusion bias related to study selection.</w:t>
      </w:r>
    </w:p>
    <w:p w:rsidRPr="000D0300" w:rsidR="000D0300" w:rsidP="000D0300" w:rsidRDefault="000D0300" w14:paraId="3E47ACAA" w14:textId="77777777">
      <w:pPr>
        <w:spacing w:after="0"/>
        <w:ind w:left="-11"/>
        <w:jc w:val="both"/>
        <w:rPr>
          <w:rFonts w:cstheme="minorBidi"/>
          <w:color w:val="000000" w:themeColor="text1"/>
        </w:rPr>
      </w:pPr>
    </w:p>
    <w:p w:rsidRPr="00912466" w:rsidR="00457F3C" w:rsidP="007B683C" w:rsidRDefault="00457F3C" w14:paraId="7F4C4F75" w14:textId="13B94C9A">
      <w:pPr>
        <w:pStyle w:val="ListParagraph"/>
        <w:numPr>
          <w:ilvl w:val="0"/>
          <w:numId w:val="6"/>
        </w:numPr>
        <w:ind w:left="567" w:hanging="567"/>
        <w:rPr>
          <w:rStyle w:val="Strong"/>
          <w:b/>
          <w:bCs/>
          <w:lang w:val="en-GB"/>
        </w:rPr>
      </w:pPr>
      <w:r w:rsidRPr="4AF9E47B">
        <w:rPr>
          <w:rStyle w:val="Strong"/>
          <w:b/>
          <w:bCs/>
          <w:lang w:val="en-GB"/>
        </w:rPr>
        <w:t>Baseline characteristics of patients</w:t>
      </w:r>
    </w:p>
    <w:p w:rsidR="002A7E33" w:rsidP="002A7E33" w:rsidRDefault="00457F3C" w14:paraId="526BED9B" w14:textId="4407222F">
      <w:pPr>
        <w:spacing w:after="0"/>
        <w:rPr>
          <w:rFonts w:cstheme="minorBidi"/>
          <w:color w:val="000000" w:themeColor="text1"/>
        </w:rPr>
      </w:pPr>
      <w:r w:rsidRPr="002A7E33">
        <w:rPr>
          <w:rFonts w:cstheme="minorBidi"/>
          <w:color w:val="000000" w:themeColor="text1"/>
        </w:rPr>
        <w:t xml:space="preserve">A summary of relevant baseline patient characteristics will be presented </w:t>
      </w:r>
      <w:r w:rsidRPr="002A7E33" w:rsidR="007A3C77">
        <w:rPr>
          <w:rFonts w:cstheme="minorBidi"/>
          <w:color w:val="000000" w:themeColor="text1"/>
        </w:rPr>
        <w:t>for all patients</w:t>
      </w:r>
      <w:r w:rsidRPr="002A7E33" w:rsidR="00B155D2">
        <w:rPr>
          <w:rFonts w:cstheme="minorBidi"/>
          <w:color w:val="000000" w:themeColor="text1"/>
        </w:rPr>
        <w:t>,</w:t>
      </w:r>
      <w:r w:rsidRPr="002A7E33" w:rsidR="00960E9B">
        <w:rPr>
          <w:rFonts w:cstheme="minorBidi"/>
          <w:color w:val="000000" w:themeColor="text1"/>
        </w:rPr>
        <w:t xml:space="preserve"> </w:t>
      </w:r>
      <w:r w:rsidRPr="002A7E33" w:rsidR="007A3C77">
        <w:rPr>
          <w:rFonts w:cstheme="minorBidi"/>
          <w:color w:val="000000" w:themeColor="text1"/>
        </w:rPr>
        <w:t xml:space="preserve">those receiving </w:t>
      </w:r>
      <w:r w:rsidRPr="002A7E33" w:rsidR="00F2533A">
        <w:rPr>
          <w:rFonts w:cstheme="minorBidi"/>
          <w:color w:val="000000" w:themeColor="text1"/>
        </w:rPr>
        <w:t xml:space="preserve">daily </w:t>
      </w:r>
      <w:r w:rsidRPr="002A7E33" w:rsidR="007A3C77">
        <w:rPr>
          <w:rFonts w:cstheme="minorBidi"/>
          <w:color w:val="000000" w:themeColor="text1"/>
        </w:rPr>
        <w:t>low</w:t>
      </w:r>
      <w:r w:rsidRPr="002A7E33" w:rsidR="002B4DBD">
        <w:rPr>
          <w:rFonts w:cstheme="minorBidi"/>
          <w:color w:val="000000" w:themeColor="text1"/>
        </w:rPr>
        <w:t xml:space="preserve"> (</w:t>
      </w:r>
      <m:oMath>
        <m:r>
          <w:rPr>
            <w:rFonts w:ascii="Cambria Math" w:hAnsi="Cambria Math" w:cstheme="minorBidi"/>
            <w:color w:val="000000" w:themeColor="text1"/>
          </w:rPr>
          <m:t>&lt;</m:t>
        </m:r>
      </m:oMath>
      <w:r w:rsidRPr="002A7E33" w:rsidR="002C5A80">
        <w:t>5 mg/</w:t>
      </w:r>
      <w:r w:rsidRPr="002A7E33" w:rsidR="002C5A80">
        <w:rPr>
          <w:rFonts w:cstheme="minorBidi"/>
        </w:rPr>
        <w:t>kg</w:t>
      </w:r>
      <w:r w:rsidRPr="002A7E33" w:rsidR="002B4DBD">
        <w:rPr>
          <w:rFonts w:cstheme="minorBidi"/>
          <w:color w:val="000000" w:themeColor="text1"/>
        </w:rPr>
        <w:t>)</w:t>
      </w:r>
      <w:r w:rsidRPr="002A7E33" w:rsidR="007C6BC1">
        <w:rPr>
          <w:rFonts w:cstheme="minorBidi"/>
          <w:color w:val="000000" w:themeColor="text1"/>
        </w:rPr>
        <w:t>, and</w:t>
      </w:r>
      <w:r w:rsidRPr="002A7E33" w:rsidR="007A3C77">
        <w:rPr>
          <w:rFonts w:cstheme="minorBidi"/>
          <w:color w:val="000000" w:themeColor="text1"/>
        </w:rPr>
        <w:t xml:space="preserve"> high </w:t>
      </w:r>
      <w:r w:rsidRPr="002A7E33" w:rsidR="002C5A80">
        <w:rPr>
          <w:rFonts w:cstheme="minorBidi"/>
          <w:color w:val="000000" w:themeColor="text1"/>
        </w:rPr>
        <w:t xml:space="preserve">total </w:t>
      </w:r>
      <w:r w:rsidRPr="002A7E33" w:rsidR="007A3C77">
        <w:rPr>
          <w:rFonts w:cstheme="minorBidi"/>
          <w:color w:val="000000" w:themeColor="text1"/>
        </w:rPr>
        <w:t>dose</w:t>
      </w:r>
      <w:r w:rsidRPr="002A7E33" w:rsidR="002B4DBD">
        <w:rPr>
          <w:rFonts w:cstheme="minorBidi"/>
          <w:color w:val="000000" w:themeColor="text1"/>
        </w:rPr>
        <w:t xml:space="preserve"> (</w:t>
      </w:r>
      <m:oMath>
        <m:r>
          <w:rPr>
            <w:rFonts w:ascii="Cambria Math" w:hAnsi="Cambria Math" w:cstheme="minorBidi"/>
            <w:color w:val="000000" w:themeColor="text1"/>
          </w:rPr>
          <m:t>≥</m:t>
        </m:r>
      </m:oMath>
      <w:r w:rsidRPr="002A7E33" w:rsidR="002C5A80">
        <w:rPr>
          <w:rFonts w:cstheme="minorBidi"/>
        </w:rPr>
        <w:t>5 mg/kg</w:t>
      </w:r>
      <w:r w:rsidRPr="002A7E33" w:rsidR="002B4DBD">
        <w:rPr>
          <w:rFonts w:cstheme="minorBidi"/>
          <w:color w:val="000000" w:themeColor="text1"/>
        </w:rPr>
        <w:t>) primaquine</w:t>
      </w:r>
      <w:r w:rsidRPr="002A7E33" w:rsidR="002C5A80">
        <w:rPr>
          <w:rFonts w:cstheme="minorBidi"/>
          <w:color w:val="000000" w:themeColor="text1"/>
        </w:rPr>
        <w:t xml:space="preserve"> </w:t>
      </w:r>
      <w:r w:rsidRPr="002A7E33">
        <w:rPr>
          <w:rFonts w:cstheme="minorBidi"/>
          <w:color w:val="000000" w:themeColor="text1"/>
        </w:rPr>
        <w:fldChar w:fldCharType="begin"/>
      </w:r>
      <w:r w:rsidR="005E0647">
        <w:rPr>
          <w:rFonts w:cstheme="minorBidi"/>
          <w:color w:val="000000" w:themeColor="text1"/>
        </w:rPr>
        <w:instrText xml:space="preserve"> ADDIN ZOTERO_ITEM CSL_CITATION {"citationID":"l89JYDuG","properties":{"formattedCitation":"(10)","plainCitation":"(10)","noteIndex":0},"citationItems":[{"id":1193,"uris":["http://zotero.org/users/5812412/items/YZ33EE5W"],"itemData":{"id":1193,"type":"article-journal","abstract":"Abstract\n            \n              Background\n              \n                Primaquine has been the only widely available hypnozoitocidal anti-malarial drug for half a century. Despite this its clinical efficacy is poorly characterized resulting in a lack of consensus over the optimal regimen for the radical cure of\n                Plasmodium vivax\n                .\n              \n            \n            \n              Methods\n              \n                Published studies since 1950 of the use of primaquine regimens for preventing\n                P. vivax\n                relapse were reviewed. Data were extracted systematically from available papers. Primaquine regimens were categorized according to the total dose administered: very low (≤2.5 mg/kg), low (&gt;2.5 mg/kg- &lt; 5.0 mg/kg) and high (≥ 5.0 mg/kg). The risk of recurrent infection were summarized across geographical regions and the odds ratios between treatment regimens calculated after stratifying by total treatment dose and duration of study follow up.\n              \n            \n            \n              Results\n              Data could be retrieved from 87 clinical trials presenting data in 59,735 patients enrolled into 156 treatment arms, conducted in 20 countries. There was marked heterogeneity in study design, particularly primaquine dosing and duration of follow up. The median rate of recurrence following very low dose of primaquine (n = 44) was 25% (range 0-90%) at 4–6 months, compared to 6.7 % (range 0-59%) following low dose primaquine (n = 82). High dose primaquine regimens were assessed in 28 treatment arms, and were associated with a median recurrence rate of 0% (Range: 0-15%) at one month. In 18 studies with control arms, the effectiveness of a very low dose primaquine regimen was no different from patients who did not receive primaquine (OR = 0.60, 95%CI 0.33-1.09, p = 0.09), whereas for the low dose regimens a significant difference was reported in 50% (6/12) of studies (overall OR = 0.14, 95%CI: 0.06-0.35, p &lt; 0.001). Two studies enrolling 171 patients demonstrated high effectiveness of high dose primaquine compared to a control arm (OR = 0.03 (95%CI: 0.01-0.13); p &lt; 0.0001).\n            \n            \n              Conclusions\n              Low dose regimens retain adequate efficacy in some areas, but this is not uniform. The efficacy and safety of pragmatic high dose primaquine regimens needs to be assessed in a range of endemic and geographical locations. Such studies will require a prolonged period of follow up and comparison with control arms to account for confounding factors.","container-title":"Malaria Journal","DOI":"10.1186/1475-2875-11-280","ISSN":"1475-2875","issue":"1","journalAbbreviation":"Malar J","language":"en","page":"280","source":"DOI.org (Crossref)","title":"Primaquine radical cure of Plasmodium vivax: a critical review of the literature","title-short":"Primaquine radical cure of Plasmodium vivax","volume":"11","author":[{"family":"John","given":"George K"},{"family":"Douglas","given":"Nicholas M"},{"family":"Seidlein","given":"Lorenz","non-dropping-particle":"von"},{"family":"Nosten","given":"Francois"},{"family":"Baird","given":"J Kevin"},{"family":"White","given":"Nicholas J"},{"family":"Price","given":"Ric N"}],"issued":{"date-parts":[["2012",12]]}}}],"schema":"https://github.com/citation-style-language/schema/raw/master/csl-citation.json"} </w:instrText>
      </w:r>
      <w:r w:rsidRPr="002A7E33">
        <w:rPr>
          <w:rFonts w:cstheme="minorBidi"/>
          <w:color w:val="000000" w:themeColor="text1"/>
        </w:rPr>
        <w:fldChar w:fldCharType="separate"/>
      </w:r>
      <w:r w:rsidR="005E0647">
        <w:rPr>
          <w:rFonts w:cstheme="minorBidi"/>
          <w:color w:val="000000" w:themeColor="text1"/>
        </w:rPr>
        <w:t>(10)</w:t>
      </w:r>
      <w:r w:rsidRPr="002A7E33">
        <w:rPr>
          <w:rFonts w:cstheme="minorBidi"/>
          <w:color w:val="000000" w:themeColor="text1"/>
        </w:rPr>
        <w:fldChar w:fldCharType="end"/>
      </w:r>
      <w:r w:rsidRPr="002A7E33" w:rsidR="007A3C77">
        <w:rPr>
          <w:rFonts w:cstheme="minorBidi"/>
          <w:color w:val="000000" w:themeColor="text1"/>
        </w:rPr>
        <w:t>.  Variable</w:t>
      </w:r>
      <w:r w:rsidRPr="002A7E33" w:rsidR="00D67F0D">
        <w:rPr>
          <w:rFonts w:cstheme="minorBidi"/>
          <w:color w:val="000000" w:themeColor="text1"/>
        </w:rPr>
        <w:t>s</w:t>
      </w:r>
      <w:r w:rsidRPr="002A7E33" w:rsidR="007A3C77">
        <w:rPr>
          <w:rFonts w:cstheme="minorBidi"/>
          <w:color w:val="000000" w:themeColor="text1"/>
        </w:rPr>
        <w:t xml:space="preserve"> presented will </w:t>
      </w:r>
      <w:r w:rsidRPr="002A7E33" w:rsidR="002B4DBD">
        <w:rPr>
          <w:rFonts w:cstheme="minorBidi"/>
          <w:color w:val="000000" w:themeColor="text1"/>
        </w:rPr>
        <w:t>include</w:t>
      </w:r>
      <w:r w:rsidRPr="002A7E33">
        <w:rPr>
          <w:rFonts w:cstheme="minorBidi"/>
          <w:color w:val="000000" w:themeColor="text1"/>
        </w:rPr>
        <w:t xml:space="preserve"> age</w:t>
      </w:r>
      <w:r w:rsidRPr="002A7E33" w:rsidR="007A3C77">
        <w:rPr>
          <w:rFonts w:cstheme="minorBidi"/>
          <w:color w:val="000000" w:themeColor="text1"/>
        </w:rPr>
        <w:t xml:space="preserve"> and age group</w:t>
      </w:r>
      <w:r w:rsidRPr="002A7E33">
        <w:rPr>
          <w:rFonts w:cstheme="minorBidi"/>
          <w:color w:val="000000" w:themeColor="text1"/>
        </w:rPr>
        <w:t xml:space="preserve">, </w:t>
      </w:r>
      <w:r w:rsidRPr="002A7E33" w:rsidR="007B7B50">
        <w:rPr>
          <w:rFonts w:cstheme="minorBidi"/>
          <w:color w:val="000000" w:themeColor="text1"/>
        </w:rPr>
        <w:t>sex</w:t>
      </w:r>
      <w:r w:rsidRPr="002A7E33">
        <w:rPr>
          <w:rFonts w:cstheme="minorBidi"/>
          <w:color w:val="000000" w:themeColor="text1"/>
        </w:rPr>
        <w:t>,</w:t>
      </w:r>
      <w:r w:rsidRPr="002A7E33" w:rsidR="001736BB">
        <w:rPr>
          <w:rFonts w:cstheme="minorBidi"/>
          <w:color w:val="000000" w:themeColor="text1"/>
        </w:rPr>
        <w:t xml:space="preserve"> weight,</w:t>
      </w:r>
      <w:r w:rsidRPr="002A7E33">
        <w:rPr>
          <w:rFonts w:cstheme="minorBidi"/>
          <w:color w:val="000000" w:themeColor="text1"/>
        </w:rPr>
        <w:t xml:space="preserve"> </w:t>
      </w:r>
      <w:r w:rsidRPr="002A7E33" w:rsidR="007A3C77">
        <w:rPr>
          <w:rFonts w:cstheme="minorBidi"/>
          <w:color w:val="000000" w:themeColor="text1"/>
        </w:rPr>
        <w:t>haemoglobin concentration,</w:t>
      </w:r>
      <w:r w:rsidRPr="002A7E33" w:rsidR="002B4DBD">
        <w:rPr>
          <w:rFonts w:cstheme="minorBidi"/>
          <w:color w:val="000000" w:themeColor="text1"/>
        </w:rPr>
        <w:t xml:space="preserve"> methaemoglobin concentration,</w:t>
      </w:r>
      <w:r w:rsidRPr="002A7E33" w:rsidR="007A3C77">
        <w:rPr>
          <w:rFonts w:cstheme="minorBidi"/>
          <w:color w:val="000000" w:themeColor="text1"/>
        </w:rPr>
        <w:t xml:space="preserve"> asexual parasitaemia, presence of fever (</w:t>
      </w:r>
      <w:r w:rsidRPr="002A7E33" w:rsidR="00960E9B">
        <w:rPr>
          <w:rFonts w:cstheme="minorBidi"/>
          <w:color w:val="000000" w:themeColor="text1"/>
        </w:rPr>
        <w:t xml:space="preserve">axillary </w:t>
      </w:r>
      <w:r w:rsidRPr="002A7E33" w:rsidR="007A3C77">
        <w:rPr>
          <w:rFonts w:cstheme="minorBidi"/>
          <w:color w:val="000000" w:themeColor="text1"/>
        </w:rPr>
        <w:t>temperature 37.5</w:t>
      </w:r>
      <w:r w:rsidRPr="002A7E33" w:rsidR="007A3C77">
        <w:rPr>
          <w:rFonts w:eastAsia="Symbol" w:cstheme="minorBidi"/>
          <w:color w:val="000000" w:themeColor="text1"/>
        </w:rPr>
        <w:t>°</w:t>
      </w:r>
      <w:r w:rsidRPr="002A7E33" w:rsidR="007A3C77">
        <w:rPr>
          <w:rFonts w:cstheme="minorBidi"/>
          <w:color w:val="000000" w:themeColor="text1"/>
        </w:rPr>
        <w:t xml:space="preserve">C or fever recorded), </w:t>
      </w:r>
      <w:r w:rsidRPr="002A7E33" w:rsidR="00CB3820">
        <w:rPr>
          <w:rFonts w:cstheme="minorBidi"/>
          <w:color w:val="000000" w:themeColor="text1"/>
        </w:rPr>
        <w:t xml:space="preserve">blood schizontocidal </w:t>
      </w:r>
      <w:r w:rsidRPr="002A7E33" w:rsidR="007A3C77">
        <w:rPr>
          <w:rFonts w:cstheme="minorBidi"/>
          <w:color w:val="000000" w:themeColor="text1"/>
        </w:rPr>
        <w:t xml:space="preserve">treatment and </w:t>
      </w:r>
      <w:r w:rsidRPr="002A7E33" w:rsidR="00CB3820">
        <w:rPr>
          <w:rFonts w:cstheme="minorBidi"/>
          <w:color w:val="000000" w:themeColor="text1"/>
        </w:rPr>
        <w:t xml:space="preserve">mg/kg dose, mg/kg dose and </w:t>
      </w:r>
      <w:r w:rsidRPr="002A7E33">
        <w:rPr>
          <w:rFonts w:cstheme="minorBidi"/>
          <w:color w:val="000000" w:themeColor="text1"/>
        </w:rPr>
        <w:t>timing of primaquine</w:t>
      </w:r>
      <w:r w:rsidRPr="002A7E33" w:rsidR="001736BB">
        <w:rPr>
          <w:rFonts w:cstheme="minorBidi"/>
          <w:color w:val="000000" w:themeColor="text1"/>
        </w:rPr>
        <w:t xml:space="preserve"> (i</w:t>
      </w:r>
      <w:r w:rsidRPr="002A7E33" w:rsidR="002C5A80">
        <w:rPr>
          <w:rFonts w:cstheme="minorBidi"/>
          <w:color w:val="000000" w:themeColor="text1"/>
        </w:rPr>
        <w:t>.</w:t>
      </w:r>
      <w:r w:rsidRPr="002A7E33" w:rsidR="001736BB">
        <w:rPr>
          <w:rFonts w:cstheme="minorBidi"/>
          <w:color w:val="000000" w:themeColor="text1"/>
        </w:rPr>
        <w:t>e</w:t>
      </w:r>
      <w:r w:rsidRPr="002A7E33" w:rsidR="002C5A80">
        <w:rPr>
          <w:rFonts w:cstheme="minorBidi"/>
          <w:color w:val="000000" w:themeColor="text1"/>
        </w:rPr>
        <w:t>.,</w:t>
      </w:r>
      <w:r w:rsidRPr="002A7E33" w:rsidR="001736BB">
        <w:rPr>
          <w:rFonts w:cstheme="minorBidi"/>
          <w:color w:val="000000" w:themeColor="text1"/>
        </w:rPr>
        <w:t xml:space="preserve"> first day of </w:t>
      </w:r>
      <w:r w:rsidRPr="002A7E33" w:rsidR="00B5468E">
        <w:rPr>
          <w:rFonts w:cstheme="minorBidi"/>
          <w:color w:val="000000" w:themeColor="text1"/>
        </w:rPr>
        <w:t xml:space="preserve">primaquine </w:t>
      </w:r>
      <w:r w:rsidRPr="002A7E33" w:rsidR="001736BB">
        <w:rPr>
          <w:rFonts w:cstheme="minorBidi"/>
          <w:color w:val="000000" w:themeColor="text1"/>
        </w:rPr>
        <w:t>treatment)</w:t>
      </w:r>
      <w:r w:rsidRPr="002A7E33">
        <w:rPr>
          <w:rFonts w:cstheme="minorBidi"/>
          <w:color w:val="000000" w:themeColor="text1"/>
        </w:rPr>
        <w:t>,</w:t>
      </w:r>
      <w:r w:rsidRPr="002A7E33" w:rsidR="001736BB">
        <w:rPr>
          <w:rFonts w:cstheme="minorBidi"/>
          <w:color w:val="000000" w:themeColor="text1"/>
        </w:rPr>
        <w:t xml:space="preserve"> </w:t>
      </w:r>
      <w:r w:rsidRPr="002A7E33" w:rsidR="00D52C1A">
        <w:rPr>
          <w:rFonts w:cstheme="minorBidi"/>
          <w:color w:val="000000" w:themeColor="text1"/>
        </w:rPr>
        <w:t>perce</w:t>
      </w:r>
      <w:r w:rsidRPr="002A7E33" w:rsidR="00A33FBA">
        <w:rPr>
          <w:rFonts w:cstheme="minorBidi"/>
          <w:color w:val="000000" w:themeColor="text1"/>
        </w:rPr>
        <w:t>n</w:t>
      </w:r>
      <w:r w:rsidRPr="002A7E33" w:rsidR="00D52C1A">
        <w:rPr>
          <w:rFonts w:cstheme="minorBidi"/>
          <w:color w:val="000000" w:themeColor="text1"/>
        </w:rPr>
        <w:t>tage</w:t>
      </w:r>
      <w:r w:rsidRPr="002A7E33" w:rsidR="007A3C77">
        <w:rPr>
          <w:rFonts w:cstheme="minorBidi"/>
          <w:color w:val="000000" w:themeColor="text1"/>
        </w:rPr>
        <w:t xml:space="preserve"> of </w:t>
      </w:r>
      <w:r w:rsidRPr="002A7E33" w:rsidR="007B7B50">
        <w:rPr>
          <w:rFonts w:cstheme="minorBidi"/>
          <w:color w:val="000000" w:themeColor="text1"/>
        </w:rPr>
        <w:t>primaquine</w:t>
      </w:r>
      <w:r w:rsidRPr="002A7E33" w:rsidR="007A3C77">
        <w:rPr>
          <w:rFonts w:cstheme="minorBidi"/>
          <w:color w:val="000000" w:themeColor="text1"/>
        </w:rPr>
        <w:t xml:space="preserve"> administered with food</w:t>
      </w:r>
      <w:r w:rsidRPr="002A7E33" w:rsidR="007B7B50">
        <w:rPr>
          <w:rFonts w:cstheme="minorBidi"/>
          <w:color w:val="000000" w:themeColor="text1"/>
        </w:rPr>
        <w:t xml:space="preserve">, </w:t>
      </w:r>
      <w:r w:rsidRPr="002A7E33" w:rsidR="007A3C77">
        <w:rPr>
          <w:rFonts w:cstheme="minorBidi"/>
          <w:color w:val="000000" w:themeColor="text1"/>
        </w:rPr>
        <w:t>and host variants (G6PD status, CYP2D6 status)</w:t>
      </w:r>
      <w:r w:rsidRPr="002A7E33">
        <w:rPr>
          <w:rFonts w:cstheme="minorBidi"/>
          <w:color w:val="000000" w:themeColor="text1"/>
        </w:rPr>
        <w:t>.</w:t>
      </w:r>
    </w:p>
    <w:p w:rsidR="002A7E33" w:rsidP="002A7E33" w:rsidRDefault="002A7E33" w14:paraId="09B67E29" w14:textId="77777777">
      <w:pPr>
        <w:spacing w:after="0"/>
        <w:rPr>
          <w:rFonts w:cstheme="minorBidi"/>
          <w:color w:val="000000" w:themeColor="text1"/>
        </w:rPr>
      </w:pPr>
    </w:p>
    <w:p w:rsidR="00D1109C" w:rsidP="002A7E33" w:rsidRDefault="00C62789" w14:paraId="652E51BF" w14:textId="446F84ED">
      <w:pPr>
        <w:spacing w:after="0"/>
        <w:rPr>
          <w:rFonts w:cstheme="minorBidi"/>
          <w:color w:val="000000" w:themeColor="text1"/>
        </w:rPr>
      </w:pPr>
      <w:r w:rsidRPr="4AF9E47B">
        <w:rPr>
          <w:color w:val="000000" w:themeColor="text1"/>
        </w:rPr>
        <w:t xml:space="preserve">The distribution of continuous variables will be described using the mean and standard deviation if the data are </w:t>
      </w:r>
      <w:r w:rsidRPr="4AF9E47B" w:rsidR="00B5468E">
        <w:rPr>
          <w:color w:val="000000" w:themeColor="text1"/>
        </w:rPr>
        <w:t xml:space="preserve">approximately </w:t>
      </w:r>
      <w:r w:rsidRPr="4AF9E47B">
        <w:rPr>
          <w:color w:val="000000" w:themeColor="text1"/>
        </w:rPr>
        <w:t xml:space="preserve">normally distributed, geometric mean and </w:t>
      </w:r>
      <w:r w:rsidRPr="4AF9E47B" w:rsidR="00D14F1B">
        <w:rPr>
          <w:color w:val="000000" w:themeColor="text1"/>
        </w:rPr>
        <w:t xml:space="preserve">geometric standard deviation </w:t>
      </w:r>
      <w:r w:rsidRPr="4AF9E47B">
        <w:rPr>
          <w:color w:val="000000" w:themeColor="text1"/>
        </w:rPr>
        <w:t xml:space="preserve">if the data are </w:t>
      </w:r>
      <w:r w:rsidRPr="4AF9E47B" w:rsidR="00AE6EBF">
        <w:rPr>
          <w:color w:val="000000" w:themeColor="text1"/>
        </w:rPr>
        <w:t xml:space="preserve">approximately </w:t>
      </w:r>
      <w:r w:rsidRPr="4AF9E47B">
        <w:rPr>
          <w:color w:val="000000" w:themeColor="text1"/>
        </w:rPr>
        <w:t>normally distributed following a log transformation, or the median and interquartile range if the data are non-normally distributed.</w:t>
      </w:r>
      <w:r w:rsidRPr="4AF9E47B" w:rsidR="00072E96">
        <w:rPr>
          <w:rFonts w:cstheme="minorBidi"/>
          <w:color w:val="000000" w:themeColor="text1"/>
        </w:rPr>
        <w:t xml:space="preserve"> Tests of statistical significance will not be undertaken for baseline characteristics; rather the clinical importance of any differences in the baseline distributions will be noted.</w:t>
      </w:r>
    </w:p>
    <w:p w:rsidRPr="002A7E33" w:rsidR="002A7E33" w:rsidP="002A7E33" w:rsidRDefault="002A7E33" w14:paraId="22CE6495" w14:textId="77777777">
      <w:pPr>
        <w:spacing w:after="0"/>
        <w:rPr>
          <w:rFonts w:cstheme="minorBidi"/>
          <w:color w:val="000000" w:themeColor="text1"/>
        </w:rPr>
      </w:pPr>
    </w:p>
    <w:p w:rsidR="00457F3C" w:rsidP="007B683C" w:rsidRDefault="0078431C" w14:paraId="1201A8FE" w14:textId="0222FFBB">
      <w:pPr>
        <w:pStyle w:val="ListParagraph"/>
        <w:numPr>
          <w:ilvl w:val="0"/>
          <w:numId w:val="6"/>
        </w:numPr>
        <w:ind w:left="567" w:hanging="578"/>
        <w:rPr>
          <w:rStyle w:val="Strong"/>
          <w:b/>
          <w:bCs/>
          <w:lang w:val="en-GB"/>
        </w:rPr>
      </w:pPr>
      <w:r w:rsidRPr="4AF9E47B">
        <w:rPr>
          <w:rStyle w:val="Strong"/>
          <w:b/>
          <w:bCs/>
          <w:lang w:val="en-GB"/>
        </w:rPr>
        <w:t>Descriptive</w:t>
      </w:r>
      <w:r w:rsidRPr="4AF9E47B" w:rsidR="00373CF5">
        <w:rPr>
          <w:rStyle w:val="Strong"/>
          <w:b/>
          <w:bCs/>
          <w:lang w:val="en-GB"/>
        </w:rPr>
        <w:t xml:space="preserve"> and survival analyses</w:t>
      </w:r>
    </w:p>
    <w:p w:rsidRPr="002A7E33" w:rsidR="002A7E33" w:rsidP="002A7E33" w:rsidRDefault="002D460B" w14:paraId="04653B33" w14:textId="203319EB">
      <w:pPr>
        <w:rPr>
          <w:rFonts w:cstheme="minorBidi"/>
          <w:b/>
          <w:bCs/>
          <w:color w:val="000000" w:themeColor="text1"/>
        </w:rPr>
      </w:pPr>
      <w:r w:rsidRPr="002A7E33">
        <w:rPr>
          <w:rFonts w:cstheme="minorBidi"/>
          <w:b/>
          <w:bCs/>
          <w:color w:val="000000" w:themeColor="text1"/>
        </w:rPr>
        <w:t>Primaquine treatment dosing</w:t>
      </w:r>
    </w:p>
    <w:p w:rsidRPr="002A7E33" w:rsidR="002D460B" w:rsidP="002A7E33" w:rsidRDefault="002D460B" w14:paraId="3D9AD85E" w14:textId="037DFCFF">
      <w:pPr>
        <w:spacing w:after="0"/>
        <w:rPr>
          <w:rFonts w:cstheme="minorBidi"/>
          <w:i/>
          <w:iCs/>
          <w:color w:val="000000" w:themeColor="text1"/>
        </w:rPr>
      </w:pPr>
      <w:r w:rsidRPr="000F76CD">
        <w:rPr>
          <w:rFonts w:cstheme="minorBidi"/>
          <w:color w:val="000000" w:themeColor="text1"/>
        </w:rPr>
        <w:t xml:space="preserve">A summary of the distribution of </w:t>
      </w:r>
      <w:r>
        <w:rPr>
          <w:rFonts w:cstheme="minorBidi"/>
          <w:color w:val="000000" w:themeColor="text1"/>
        </w:rPr>
        <w:t xml:space="preserve">total </w:t>
      </w:r>
      <w:r w:rsidRPr="000F76CD">
        <w:rPr>
          <w:rFonts w:cstheme="minorBidi"/>
          <w:color w:val="000000" w:themeColor="text1"/>
        </w:rPr>
        <w:t>mg/kg primaquine dose will be presented. The distributions will be calculated separately for different age groups, blood schizontocidal drugs, dosing strategies (age-based and</w:t>
      </w:r>
      <w:r>
        <w:rPr>
          <w:rFonts w:cstheme="minorBidi"/>
          <w:color w:val="000000" w:themeColor="text1"/>
        </w:rPr>
        <w:t xml:space="preserve"> </w:t>
      </w:r>
      <w:r w:rsidRPr="000F76CD">
        <w:rPr>
          <w:rFonts w:cstheme="minorBidi"/>
          <w:color w:val="000000" w:themeColor="text1"/>
        </w:rPr>
        <w:t xml:space="preserve">weight-based) and regions </w:t>
      </w:r>
      <w:r w:rsidRPr="000F76CD">
        <w:rPr>
          <w:rFonts w:cstheme="minorBidi"/>
          <w:color w:val="000000" w:themeColor="text1"/>
        </w:rPr>
        <w:fldChar w:fldCharType="begin"/>
      </w:r>
      <w:r w:rsidR="005E0647">
        <w:rPr>
          <w:rFonts w:cstheme="minorBidi"/>
          <w:color w:val="000000" w:themeColor="text1"/>
        </w:rPr>
        <w:instrText xml:space="preserve"> ADDIN ZOTERO_ITEM CSL_CITATION {"citationID":"bG1PbVbF","properties":{"formattedCitation":"(6)","plainCitation":"(6)","noteIndex":0},"citationItems":[{"id":1186,"uris":["http://zotero.org/users/5812412/items/3GJZJZW6"],"itemData":{"id":1186,"type":"article-journal","container-title":"Malaria Journal","DOI":"10.1186/1475-2875-13-144","ISSN":"1475-2875","issue":"1","journalAbbreviation":"Malar J","language":"en","page":"144","source":"DOI.org (Crossref)","title":"Geographical variation in Plasmodium vivax relapse","volume":"13","author":[{"family":"Battle","given":"Katherine E"},{"family":"Karhunen","given":"Markku S"},{"family":"Bhatt","given":"Samir"},{"family":"Gething","given":"Peter W"},{"family":"Howes","given":"Rosalind E"},{"family":"Golding","given":"Nick"},{"family":"Van Boeckel","given":"Thomas P"},{"family":"Messina","given":"Jane P"},{"family":"Shanks","given":"G Dennis"},{"family":"Smith","given":"David L"},{"family":"Baird","given":"J Kevin"},{"family":"Hay","given":"Simon I"}],"issued":{"date-parts":[["2014",12]]}}}],"schema":"https://github.com/citation-style-language/schema/raw/master/csl-citation.json"} </w:instrText>
      </w:r>
      <w:r w:rsidRPr="000F76CD">
        <w:rPr>
          <w:rFonts w:cstheme="minorBidi"/>
          <w:color w:val="000000" w:themeColor="text1"/>
        </w:rPr>
        <w:fldChar w:fldCharType="separate"/>
      </w:r>
      <w:r w:rsidR="005E0647">
        <w:rPr>
          <w:rFonts w:cstheme="minorBidi"/>
          <w:color w:val="000000" w:themeColor="text1"/>
        </w:rPr>
        <w:t>(6)</w:t>
      </w:r>
      <w:r w:rsidRPr="000F76CD">
        <w:rPr>
          <w:rFonts w:cstheme="minorBidi"/>
          <w:color w:val="000000" w:themeColor="text1"/>
        </w:rPr>
        <w:fldChar w:fldCharType="end"/>
      </w:r>
      <w:r w:rsidRPr="000F76CD">
        <w:rPr>
          <w:rFonts w:cstheme="minorBidi"/>
          <w:color w:val="000000" w:themeColor="text1"/>
        </w:rPr>
        <w:t xml:space="preserve"> and presented in tables (mean (SD)) as well as visualised using box-and-whisker plots, histograms, or scatter plots (e.g. mg/kg dosing vs. age or weight).</w:t>
      </w:r>
    </w:p>
    <w:p w:rsidRPr="00F50CFC" w:rsidR="002D460B" w:rsidP="002D460B" w:rsidRDefault="002D460B" w14:paraId="786B6EF4" w14:textId="77777777">
      <w:pPr>
        <w:pStyle w:val="ListParagraph"/>
        <w:spacing w:after="0"/>
        <w:rPr>
          <w:color w:val="000000" w:themeColor="text1"/>
          <w:lang w:val="en-GB"/>
        </w:rPr>
      </w:pPr>
    </w:p>
    <w:p w:rsidR="002A7E33" w:rsidP="002A7E33" w:rsidRDefault="002D460B" w14:paraId="13E4D59E" w14:textId="77777777">
      <w:pPr>
        <w:rPr>
          <w:rFonts w:cstheme="minorBidi"/>
          <w:b/>
          <w:bCs/>
          <w:color w:val="000000" w:themeColor="text1"/>
        </w:rPr>
      </w:pPr>
      <w:r w:rsidRPr="002A7E33">
        <w:rPr>
          <w:rFonts w:cstheme="minorBidi"/>
          <w:b/>
          <w:bCs/>
          <w:color w:val="000000" w:themeColor="text1"/>
        </w:rPr>
        <w:t>Primaquine-induced methaemoglobin production</w:t>
      </w:r>
    </w:p>
    <w:p w:rsidRPr="002A7E33" w:rsidR="002D460B" w:rsidP="002A7E33" w:rsidRDefault="002D460B" w14:paraId="5DC6EE45" w14:textId="64CFF369">
      <w:pPr>
        <w:spacing w:after="0"/>
        <w:rPr>
          <w:rFonts w:cstheme="minorBidi"/>
          <w:b/>
          <w:bCs/>
          <w:color w:val="000000" w:themeColor="text1"/>
        </w:rPr>
      </w:pPr>
      <w:r w:rsidRPr="007A079E">
        <w:rPr>
          <w:rFonts w:cstheme="minorBidi"/>
          <w:color w:val="000000" w:themeColor="text1"/>
        </w:rPr>
        <w:t xml:space="preserve">A summary of the distribution of methaemoglobin levels will be presented. The distributions after </w:t>
      </w:r>
      <w:r w:rsidR="007B2D04">
        <w:rPr>
          <w:rFonts w:cstheme="minorBidi"/>
          <w:color w:val="000000" w:themeColor="text1"/>
        </w:rPr>
        <w:t>primaquine</w:t>
      </w:r>
      <w:r w:rsidRPr="007A079E">
        <w:rPr>
          <w:rFonts w:cstheme="minorBidi"/>
          <w:color w:val="000000" w:themeColor="text1"/>
        </w:rPr>
        <w:t xml:space="preserve"> administration will be visualised using box-and-whisker plots</w:t>
      </w:r>
      <w:r w:rsidR="00F01264">
        <w:rPr>
          <w:rFonts w:cstheme="minorBidi"/>
          <w:color w:val="000000" w:themeColor="text1"/>
        </w:rPr>
        <w:t xml:space="preserve"> as a function of time since first dose</w:t>
      </w:r>
      <w:r w:rsidRPr="007A079E">
        <w:rPr>
          <w:rFonts w:cstheme="minorBidi"/>
          <w:color w:val="000000" w:themeColor="text1"/>
        </w:rPr>
        <w:t xml:space="preserve">. </w:t>
      </w:r>
      <w:r w:rsidR="00F01264">
        <w:rPr>
          <w:rFonts w:cstheme="minorBidi"/>
          <w:color w:val="000000" w:themeColor="text1"/>
        </w:rPr>
        <w:t xml:space="preserve">These plots will be stratified by daily primaquine dose (target doses of 0.25, 0.5 and </w:t>
      </w:r>
      <w:r w:rsidR="00F01264">
        <w:rPr>
          <w:rFonts w:cstheme="minorBidi"/>
          <w:color w:val="000000" w:themeColor="text1"/>
        </w:rPr>
        <w:t>1mg/kg) and by duration (7 or 14 days). Additional</w:t>
      </w:r>
      <w:r w:rsidRPr="007A079E">
        <w:rPr>
          <w:rFonts w:cstheme="minorBidi"/>
          <w:color w:val="000000" w:themeColor="text1"/>
        </w:rPr>
        <w:t xml:space="preserve"> stratified summaries by schizontocidal drug</w:t>
      </w:r>
      <w:r w:rsidR="00F01264">
        <w:rPr>
          <w:rFonts w:cstheme="minorBidi"/>
          <w:color w:val="000000" w:themeColor="text1"/>
        </w:rPr>
        <w:t xml:space="preserve"> and</w:t>
      </w:r>
      <w:r w:rsidRPr="007A079E">
        <w:rPr>
          <w:rFonts w:cstheme="minorBidi"/>
          <w:color w:val="000000" w:themeColor="text1"/>
        </w:rPr>
        <w:t xml:space="preserve"> age group will be considered.</w:t>
      </w:r>
    </w:p>
    <w:p w:rsidRPr="007A079E" w:rsidR="002D460B" w:rsidP="002D460B" w:rsidRDefault="002D460B" w14:paraId="33AFA675" w14:textId="77777777">
      <w:pPr>
        <w:spacing w:after="0"/>
        <w:rPr>
          <w:rFonts w:cstheme="minorBidi"/>
          <w:i/>
          <w:iCs/>
          <w:color w:val="000000" w:themeColor="text1"/>
        </w:rPr>
      </w:pPr>
    </w:p>
    <w:p w:rsidR="002A7E33" w:rsidP="002A7E33" w:rsidRDefault="002D460B" w14:paraId="42B7EFA3" w14:textId="77777777">
      <w:pPr>
        <w:rPr>
          <w:rFonts w:cstheme="minorBidi"/>
          <w:b/>
          <w:bCs/>
          <w:color w:val="000000" w:themeColor="text1"/>
        </w:rPr>
      </w:pPr>
      <w:r w:rsidRPr="002A7E33">
        <w:rPr>
          <w:rFonts w:cstheme="minorBidi"/>
          <w:b/>
          <w:bCs/>
          <w:color w:val="000000" w:themeColor="text1"/>
        </w:rPr>
        <w:t>Handling of missing methaemoglobin data</w:t>
      </w:r>
    </w:p>
    <w:p w:rsidRPr="002A7E33" w:rsidR="002D460B" w:rsidP="002A7E33" w:rsidRDefault="002D460B" w14:paraId="706EDCFD" w14:textId="02000F92">
      <w:pPr>
        <w:spacing w:after="0"/>
        <w:rPr>
          <w:rFonts w:cstheme="minorBidi"/>
          <w:b/>
          <w:bCs/>
          <w:color w:val="000000" w:themeColor="text1"/>
        </w:rPr>
      </w:pPr>
      <w:r>
        <w:rPr>
          <w:rFonts w:cstheme="minorBidi"/>
          <w:color w:val="000000" w:themeColor="text1"/>
        </w:rPr>
        <w:t xml:space="preserve">Missing </w:t>
      </w:r>
      <w:r w:rsidR="00F01264">
        <w:rPr>
          <w:rFonts w:cstheme="minorBidi"/>
          <w:color w:val="000000" w:themeColor="text1"/>
        </w:rPr>
        <w:t xml:space="preserve">day 7 </w:t>
      </w:r>
      <w:r>
        <w:rPr>
          <w:rFonts w:cstheme="minorBidi"/>
          <w:color w:val="000000" w:themeColor="text1"/>
        </w:rPr>
        <w:t>methaemoglobin concentrations will be</w:t>
      </w:r>
      <w:r w:rsidR="00F01264">
        <w:rPr>
          <w:rFonts w:cstheme="minorBidi"/>
          <w:color w:val="000000" w:themeColor="text1"/>
        </w:rPr>
        <w:t xml:space="preserve"> linearly</w:t>
      </w:r>
      <w:r>
        <w:rPr>
          <w:rFonts w:cstheme="minorBidi"/>
          <w:color w:val="000000" w:themeColor="text1"/>
        </w:rPr>
        <w:t xml:space="preserve"> imputed </w:t>
      </w:r>
      <w:r w:rsidR="00F01264">
        <w:rPr>
          <w:rFonts w:cstheme="minorBidi"/>
          <w:color w:val="000000" w:themeColor="text1"/>
        </w:rPr>
        <w:t>using</w:t>
      </w:r>
      <w:r>
        <w:rPr>
          <w:rFonts w:cstheme="minorBidi"/>
          <w:color w:val="000000" w:themeColor="text1"/>
        </w:rPr>
        <w:t xml:space="preserve"> methaemoglobin concentration</w:t>
      </w:r>
      <w:r w:rsidR="00A103F0">
        <w:rPr>
          <w:rFonts w:cstheme="minorBidi"/>
          <w:color w:val="000000" w:themeColor="text1"/>
        </w:rPr>
        <w:t>s</w:t>
      </w:r>
      <w:r>
        <w:rPr>
          <w:rFonts w:cstheme="minorBidi"/>
          <w:color w:val="000000" w:themeColor="text1"/>
        </w:rPr>
        <w:t xml:space="preserve"> measured within </w:t>
      </w:r>
      <m:oMath>
        <m:r>
          <w:rPr>
            <w:rFonts w:ascii="Cambria Math" w:hAnsi="Cambria Math" w:cstheme="minorBidi"/>
            <w:color w:val="000000" w:themeColor="text1"/>
          </w:rPr>
          <m:t>±</m:t>
        </m:r>
      </m:oMath>
      <w:r>
        <w:rPr>
          <w:rFonts w:cstheme="minorBidi"/>
          <w:color w:val="000000" w:themeColor="text1"/>
        </w:rPr>
        <w:t xml:space="preserve">2 days. If </w:t>
      </w:r>
      <w:r w:rsidR="00F01264">
        <w:rPr>
          <w:rFonts w:cstheme="minorBidi"/>
          <w:color w:val="000000" w:themeColor="text1"/>
        </w:rPr>
        <w:t xml:space="preserve">only </w:t>
      </w:r>
      <w:r w:rsidR="00A704E0">
        <w:rPr>
          <w:rFonts w:cstheme="minorBidi"/>
          <w:color w:val="000000" w:themeColor="text1"/>
        </w:rPr>
        <w:t xml:space="preserve">one </w:t>
      </w:r>
      <w:r>
        <w:rPr>
          <w:rFonts w:cstheme="minorBidi"/>
          <w:color w:val="000000" w:themeColor="text1"/>
        </w:rPr>
        <w:t xml:space="preserve">measurement </w:t>
      </w:r>
      <w:r w:rsidR="00F01264">
        <w:rPr>
          <w:rFonts w:cstheme="minorBidi"/>
          <w:color w:val="000000" w:themeColor="text1"/>
        </w:rPr>
        <w:t xml:space="preserve">is </w:t>
      </w:r>
      <w:r>
        <w:rPr>
          <w:rFonts w:cstheme="minorBidi"/>
          <w:color w:val="000000" w:themeColor="text1"/>
        </w:rPr>
        <w:t>available, the</w:t>
      </w:r>
      <w:r w:rsidR="00F01264">
        <w:rPr>
          <w:rFonts w:cstheme="minorBidi"/>
          <w:color w:val="000000" w:themeColor="text1"/>
        </w:rPr>
        <w:t xml:space="preserve">n the imputation will assume a </w:t>
      </w:r>
      <w:r w:rsidR="00A704E0">
        <w:rPr>
          <w:rFonts w:cstheme="minorBidi"/>
          <w:color w:val="000000" w:themeColor="text1"/>
        </w:rPr>
        <w:t>constant</w:t>
      </w:r>
      <w:r w:rsidR="00F01264">
        <w:rPr>
          <w:rFonts w:cstheme="minorBidi"/>
          <w:color w:val="000000" w:themeColor="text1"/>
        </w:rPr>
        <w:t xml:space="preserve"> (i</w:t>
      </w:r>
      <w:r w:rsidR="00A704E0">
        <w:rPr>
          <w:rFonts w:cstheme="minorBidi"/>
          <w:color w:val="000000" w:themeColor="text1"/>
        </w:rPr>
        <w:t>.</w:t>
      </w:r>
      <w:r w:rsidR="00F01264">
        <w:rPr>
          <w:rFonts w:cstheme="minorBidi"/>
          <w:color w:val="000000" w:themeColor="text1"/>
        </w:rPr>
        <w:t>e</w:t>
      </w:r>
      <w:r w:rsidR="00A704E0">
        <w:rPr>
          <w:rFonts w:cstheme="minorBidi"/>
          <w:color w:val="000000" w:themeColor="text1"/>
        </w:rPr>
        <w:t>.,</w:t>
      </w:r>
      <w:r w:rsidR="00F01264">
        <w:rPr>
          <w:rFonts w:cstheme="minorBidi"/>
          <w:color w:val="000000" w:themeColor="text1"/>
        </w:rPr>
        <w:t xml:space="preserve"> that value will be used)</w:t>
      </w:r>
      <w:r>
        <w:rPr>
          <w:rFonts w:cstheme="minorBidi"/>
          <w:color w:val="000000" w:themeColor="text1"/>
        </w:rPr>
        <w:t>. If no measurement</w:t>
      </w:r>
      <w:r w:rsidR="00F01264">
        <w:rPr>
          <w:rFonts w:cstheme="minorBidi"/>
          <w:color w:val="000000" w:themeColor="text1"/>
        </w:rPr>
        <w:t>s</w:t>
      </w:r>
      <w:r>
        <w:rPr>
          <w:rFonts w:cstheme="minorBidi"/>
          <w:color w:val="000000" w:themeColor="text1"/>
        </w:rPr>
        <w:t xml:space="preserve"> </w:t>
      </w:r>
      <w:r w:rsidR="00F01264">
        <w:rPr>
          <w:rFonts w:cstheme="minorBidi"/>
          <w:color w:val="000000" w:themeColor="text1"/>
        </w:rPr>
        <w:t>are</w:t>
      </w:r>
      <w:r>
        <w:rPr>
          <w:rFonts w:cstheme="minorBidi"/>
          <w:color w:val="000000" w:themeColor="text1"/>
        </w:rPr>
        <w:t xml:space="preserve"> available within this timeframe</w:t>
      </w:r>
      <w:r w:rsidR="00F01264">
        <w:rPr>
          <w:rFonts w:cstheme="minorBidi"/>
          <w:color w:val="000000" w:themeColor="text1"/>
        </w:rPr>
        <w:t xml:space="preserve"> (day 5 to day 9)</w:t>
      </w:r>
      <w:r>
        <w:rPr>
          <w:rFonts w:cstheme="minorBidi"/>
          <w:color w:val="000000" w:themeColor="text1"/>
        </w:rPr>
        <w:t>, the participant will be removed.</w:t>
      </w:r>
    </w:p>
    <w:p w:rsidRPr="00373CF5" w:rsidR="002D460B" w:rsidP="002D460B" w:rsidRDefault="002D460B" w14:paraId="6820BDC2" w14:textId="77777777">
      <w:pPr>
        <w:spacing w:after="0"/>
        <w:rPr>
          <w:rFonts w:cstheme="minorBidi"/>
          <w:i/>
          <w:iCs/>
          <w:color w:val="000000" w:themeColor="text1"/>
        </w:rPr>
      </w:pPr>
    </w:p>
    <w:p w:rsidRPr="00F01264" w:rsidR="00F01264" w:rsidP="002A7E33" w:rsidRDefault="002D460B" w14:paraId="6332753F" w14:textId="1FD1A628">
      <w:pPr>
        <w:rPr>
          <w:b/>
          <w:bCs/>
          <w:color w:val="000000" w:themeColor="text1"/>
        </w:rPr>
      </w:pPr>
      <w:r w:rsidRPr="002A7E33">
        <w:rPr>
          <w:b/>
          <w:bCs/>
          <w:color w:val="000000" w:themeColor="text1"/>
        </w:rPr>
        <w:t>Day-7 methaemoglobin concentration to predict time to first recurrence</w:t>
      </w:r>
    </w:p>
    <w:p w:rsidR="002D460B" w:rsidP="007B683C" w:rsidRDefault="002D460B" w14:paraId="26F463EC" w14:textId="40EAAE3C">
      <w:pPr>
        <w:pStyle w:val="Default"/>
        <w:numPr>
          <w:ilvl w:val="0"/>
          <w:numId w:val="8"/>
        </w:numPr>
        <w:spacing w:line="276" w:lineRule="auto"/>
        <w:ind w:left="284" w:hanging="284"/>
        <w:rPr>
          <w:rFonts w:asciiTheme="minorHAnsi" w:hAnsiTheme="minorHAnsi"/>
          <w:color w:val="000000" w:themeColor="text1"/>
          <w:sz w:val="22"/>
          <w:szCs w:val="22"/>
        </w:rPr>
      </w:pPr>
      <w:r>
        <w:rPr>
          <w:rFonts w:asciiTheme="minorHAnsi" w:hAnsiTheme="minorHAnsi"/>
          <w:color w:val="000000" w:themeColor="text1"/>
          <w:sz w:val="22"/>
          <w:szCs w:val="22"/>
        </w:rPr>
        <w:t>The methaemoglobin concentration on day 7 will be log-transformed to the logarithmic scale (to base</w:t>
      </w:r>
      <w:r w:rsidR="008451D9">
        <w:rPr>
          <w:rFonts w:asciiTheme="minorHAnsi" w:hAnsiTheme="minorHAnsi"/>
          <w:color w:val="000000" w:themeColor="text1"/>
          <w:sz w:val="22"/>
          <w:szCs w:val="22"/>
        </w:rPr>
        <w:t xml:space="preserve"> 2</w:t>
      </w:r>
      <w:r>
        <w:rPr>
          <w:rFonts w:asciiTheme="minorHAnsi" w:hAnsiTheme="minorHAnsi"/>
          <w:color w:val="000000" w:themeColor="text1"/>
          <w:sz w:val="22"/>
          <w:szCs w:val="22"/>
        </w:rPr>
        <w:t>). An original concentration of zero will remain untransformed.</w:t>
      </w:r>
    </w:p>
    <w:p w:rsidR="002D460B" w:rsidP="007B683C" w:rsidRDefault="002D460B" w14:paraId="08AA140D" w14:textId="374E5B67">
      <w:pPr>
        <w:pStyle w:val="Default"/>
        <w:numPr>
          <w:ilvl w:val="0"/>
          <w:numId w:val="8"/>
        </w:numPr>
        <w:spacing w:line="276" w:lineRule="auto"/>
        <w:ind w:left="284" w:hanging="284"/>
        <w:rPr>
          <w:rFonts w:asciiTheme="minorHAnsi" w:hAnsiTheme="minorHAnsi"/>
          <w:color w:val="000000" w:themeColor="text1"/>
          <w:sz w:val="22"/>
          <w:szCs w:val="22"/>
        </w:rPr>
      </w:pPr>
      <w:r w:rsidRPr="4AF9E47B">
        <w:rPr>
          <w:rFonts w:asciiTheme="minorHAnsi" w:hAnsiTheme="minorHAnsi"/>
          <w:color w:val="000000" w:themeColor="text1"/>
          <w:sz w:val="22"/>
          <w:szCs w:val="22"/>
        </w:rPr>
        <w:t>Patients will be censored at time of first recurrent vivax parasitaemia (outcome), any malaria parasitaemia, lost-to-follow-up, &gt;60 days blood smear gap or the last day of study, whichever occurs first.</w:t>
      </w:r>
    </w:p>
    <w:p w:rsidR="00F01264" w:rsidP="007B683C" w:rsidRDefault="00F01264" w14:paraId="5415460C" w14:textId="4BB15F41">
      <w:pPr>
        <w:pStyle w:val="Default"/>
        <w:numPr>
          <w:ilvl w:val="0"/>
          <w:numId w:val="8"/>
        </w:numPr>
        <w:spacing w:line="276" w:lineRule="auto"/>
        <w:ind w:left="284" w:hanging="284"/>
        <w:rPr>
          <w:rFonts w:asciiTheme="minorHAnsi" w:hAnsiTheme="minorHAnsi"/>
          <w:color w:val="000000" w:themeColor="text1"/>
          <w:sz w:val="22"/>
          <w:szCs w:val="22"/>
        </w:rPr>
      </w:pPr>
      <w:r>
        <w:rPr>
          <w:rFonts w:asciiTheme="minorHAnsi" w:hAnsiTheme="minorHAnsi"/>
          <w:color w:val="000000" w:themeColor="text1"/>
          <w:sz w:val="22"/>
          <w:szCs w:val="22"/>
        </w:rPr>
        <w:t>The primary analysis will only be in patients who are G6PD normal</w:t>
      </w:r>
      <w:r w:rsidR="00A47E31">
        <w:rPr>
          <w:rFonts w:asciiTheme="minorHAnsi" w:hAnsiTheme="minorHAnsi"/>
          <w:color w:val="000000" w:themeColor="text1"/>
          <w:sz w:val="22"/>
          <w:szCs w:val="22"/>
        </w:rPr>
        <w:t xml:space="preserve"> </w:t>
      </w:r>
      <w:r w:rsidRPr="4AF9E47B" w:rsidR="00A47E31">
        <w:rPr>
          <w:rStyle w:val="Strong"/>
          <w:rFonts w:asciiTheme="minorHAnsi" w:hAnsiTheme="minorHAnsi"/>
          <w:color w:val="000000" w:themeColor="text1"/>
        </w:rPr>
        <w:t>(</w:t>
      </w:r>
      <m:oMath>
        <m:r>
          <w:rPr>
            <w:rStyle w:val="Strong"/>
            <w:rFonts w:ascii="Cambria Math" w:hAnsi="Cambria Math"/>
            <w:noProof/>
            <w:color w:val="000000" w:themeColor="text1"/>
            <w:lang w:val="en-AU"/>
          </w:rPr>
          <m:t>≥</m:t>
        </m:r>
      </m:oMath>
      <w:r w:rsidRPr="4AF9E47B" w:rsidR="00A47E31">
        <w:rPr>
          <w:rStyle w:val="Strong"/>
          <w:rFonts w:asciiTheme="minorHAnsi" w:hAnsiTheme="minorHAnsi"/>
          <w:color w:val="000000" w:themeColor="text1"/>
        </w:rPr>
        <w:t>30% activity or a negative qualitative test)</w:t>
      </w:r>
      <w:r>
        <w:rPr>
          <w:rFonts w:asciiTheme="minorHAnsi" w:hAnsiTheme="minorHAnsi"/>
          <w:color w:val="000000" w:themeColor="text1"/>
          <w:sz w:val="22"/>
          <w:szCs w:val="22"/>
        </w:rPr>
        <w:t xml:space="preserve">. There is evidence that G6PD deficient patients have a considerably lower methaemoglobin response to primaquine treatment </w:t>
      </w:r>
      <w:r w:rsidR="00427449">
        <w:rPr>
          <w:rFonts w:asciiTheme="minorHAnsi" w:hAnsiTheme="minorHAnsi"/>
          <w:color w:val="000000" w:themeColor="text1"/>
          <w:sz w:val="22"/>
          <w:szCs w:val="22"/>
        </w:rPr>
        <w:t>while the drug remains efficacious.</w:t>
      </w:r>
    </w:p>
    <w:p w:rsidRPr="00F01264" w:rsidR="002D460B" w:rsidP="536F84AA" w:rsidRDefault="002D460B" w14:paraId="3B993CA7" w14:textId="52E336C1">
      <w:pPr>
        <w:pStyle w:val="Default"/>
        <w:numPr>
          <w:ilvl w:val="0"/>
          <w:numId w:val="8"/>
        </w:numPr>
        <w:spacing w:line="276" w:lineRule="auto"/>
        <w:ind w:left="284" w:hanging="284"/>
        <w:rPr>
          <w:rFonts w:asciiTheme="minorHAnsi" w:hAnsiTheme="minorHAnsi"/>
          <w:color w:val="000000" w:themeColor="text1"/>
          <w:sz w:val="22"/>
          <w:szCs w:val="22"/>
        </w:rPr>
      </w:pPr>
      <w:r w:rsidRPr="536F84AA">
        <w:rPr>
          <w:rFonts w:asciiTheme="minorHAnsi" w:hAnsiTheme="minorHAnsi"/>
          <w:color w:val="000000" w:themeColor="text1"/>
          <w:sz w:val="22"/>
          <w:szCs w:val="22"/>
        </w:rPr>
        <w:t>Cox proportional hazards model will be fitted to the time to first recurrence during follow-up (between days 7 and 120) with the day-7 methaemoglobin concentration</w:t>
      </w:r>
      <w:r w:rsidRPr="536F84AA" w:rsidR="00B90DF5">
        <w:rPr>
          <w:rFonts w:asciiTheme="minorHAnsi" w:hAnsiTheme="minorHAnsi"/>
          <w:color w:val="000000" w:themeColor="text1"/>
          <w:sz w:val="22"/>
          <w:szCs w:val="22"/>
        </w:rPr>
        <w:t xml:space="preserve"> (</w:t>
      </w:r>
      <w:r w:rsidRPr="536F84AA" w:rsidR="00C01CFB">
        <w:rPr>
          <w:rFonts w:asciiTheme="minorHAnsi" w:hAnsiTheme="minorHAnsi"/>
          <w:color w:val="000000" w:themeColor="text1"/>
          <w:sz w:val="22"/>
          <w:szCs w:val="22"/>
        </w:rPr>
        <w:t>percentage, on the log scale</w:t>
      </w:r>
      <w:r w:rsidRPr="536F84AA" w:rsidR="00B90DF5">
        <w:rPr>
          <w:rFonts w:asciiTheme="minorHAnsi" w:hAnsiTheme="minorHAnsi"/>
          <w:color w:val="000000" w:themeColor="text1"/>
          <w:sz w:val="22"/>
          <w:szCs w:val="22"/>
        </w:rPr>
        <w:t>)</w:t>
      </w:r>
      <w:r w:rsidRPr="536F84AA">
        <w:rPr>
          <w:rFonts w:asciiTheme="minorHAnsi" w:hAnsiTheme="minorHAnsi"/>
          <w:color w:val="000000" w:themeColor="text1"/>
          <w:sz w:val="22"/>
          <w:szCs w:val="22"/>
        </w:rPr>
        <w:t xml:space="preserve">, age (years), sex (male, female), </w:t>
      </w:r>
      <w:r w:rsidRPr="536F84AA" w:rsidR="00F01264">
        <w:rPr>
          <w:rFonts w:asciiTheme="minorHAnsi" w:hAnsiTheme="minorHAnsi"/>
          <w:color w:val="000000" w:themeColor="text1"/>
          <w:sz w:val="22"/>
          <w:szCs w:val="22"/>
        </w:rPr>
        <w:t xml:space="preserve">daily primaquine </w:t>
      </w:r>
      <w:r w:rsidRPr="536F84AA">
        <w:rPr>
          <w:rFonts w:asciiTheme="minorHAnsi" w:hAnsiTheme="minorHAnsi"/>
          <w:color w:val="000000" w:themeColor="text1"/>
          <w:sz w:val="22"/>
          <w:szCs w:val="22"/>
        </w:rPr>
        <w:t>dose (mg</w:t>
      </w:r>
      <w:r w:rsidRPr="536F84AA" w:rsidR="2E6D5899">
        <w:rPr>
          <w:rFonts w:asciiTheme="minorHAnsi" w:hAnsiTheme="minorHAnsi"/>
          <w:color w:val="000000" w:themeColor="text1"/>
          <w:sz w:val="22"/>
          <w:szCs w:val="22"/>
        </w:rPr>
        <w:t>/kg</w:t>
      </w:r>
      <w:r w:rsidRPr="536F84AA">
        <w:rPr>
          <w:rFonts w:asciiTheme="minorHAnsi" w:hAnsiTheme="minorHAnsi"/>
          <w:color w:val="000000" w:themeColor="text1"/>
          <w:sz w:val="22"/>
          <w:szCs w:val="22"/>
        </w:rPr>
        <w:t>)</w:t>
      </w:r>
      <w:r w:rsidRPr="536F84AA" w:rsidR="00F01264">
        <w:rPr>
          <w:rFonts w:asciiTheme="minorHAnsi" w:hAnsiTheme="minorHAnsi"/>
          <w:color w:val="000000" w:themeColor="text1"/>
          <w:sz w:val="22"/>
          <w:szCs w:val="22"/>
        </w:rPr>
        <w:t>,</w:t>
      </w:r>
      <w:r w:rsidR="007468FD">
        <w:rPr>
          <w:rFonts w:asciiTheme="minorHAnsi" w:hAnsiTheme="minorHAnsi"/>
          <w:color w:val="000000" w:themeColor="text1"/>
          <w:sz w:val="22"/>
          <w:szCs w:val="22"/>
        </w:rPr>
        <w:t xml:space="preserve"> primaquine regimen (14-day, 7-day; as a proxy for total primaquine dose),</w:t>
      </w:r>
      <w:r w:rsidRPr="536F84AA">
        <w:rPr>
          <w:rFonts w:asciiTheme="minorHAnsi" w:hAnsiTheme="minorHAnsi"/>
          <w:color w:val="000000" w:themeColor="text1"/>
          <w:sz w:val="22"/>
          <w:szCs w:val="22"/>
        </w:rPr>
        <w:t xml:space="preserve"> type of schizontocidal drug,</w:t>
      </w:r>
      <w:r w:rsidRPr="536F84AA" w:rsidR="00F01264">
        <w:rPr>
          <w:rFonts w:asciiTheme="minorHAnsi" w:hAnsiTheme="minorHAnsi"/>
          <w:color w:val="000000" w:themeColor="text1"/>
          <w:sz w:val="22"/>
          <w:szCs w:val="22"/>
        </w:rPr>
        <w:t xml:space="preserve"> and</w:t>
      </w:r>
      <w:r w:rsidRPr="536F84AA">
        <w:rPr>
          <w:rFonts w:asciiTheme="minorHAnsi" w:hAnsiTheme="minorHAnsi"/>
          <w:color w:val="000000" w:themeColor="text1"/>
          <w:sz w:val="22"/>
          <w:szCs w:val="22"/>
        </w:rPr>
        <w:t xml:space="preserve"> baseline parasite density (parasites per </w:t>
      </w:r>
      <w:proofErr w:type="spellStart"/>
      <w:r w:rsidRPr="536F84AA">
        <w:rPr>
          <w:rFonts w:asciiTheme="minorHAnsi" w:hAnsiTheme="minorHAnsi"/>
          <w:color w:val="000000" w:themeColor="text1"/>
          <w:sz w:val="22"/>
          <w:szCs w:val="22"/>
        </w:rPr>
        <w:t>μL</w:t>
      </w:r>
      <w:proofErr w:type="spellEnd"/>
      <w:r w:rsidRPr="536F84AA">
        <w:rPr>
          <w:rFonts w:asciiTheme="minorHAnsi" w:hAnsiTheme="minorHAnsi"/>
          <w:color w:val="000000" w:themeColor="text1"/>
          <w:sz w:val="22"/>
          <w:szCs w:val="22"/>
        </w:rPr>
        <w:t xml:space="preserve"> blood</w:t>
      </w:r>
      <w:r w:rsidRPr="536F84AA" w:rsidR="00C01CFB">
        <w:rPr>
          <w:rFonts w:asciiTheme="minorHAnsi" w:hAnsiTheme="minorHAnsi"/>
          <w:color w:val="000000" w:themeColor="text1"/>
          <w:sz w:val="22"/>
          <w:szCs w:val="22"/>
        </w:rPr>
        <w:t>,</w:t>
      </w:r>
      <w:r w:rsidRPr="536F84AA" w:rsidR="00F01264">
        <w:rPr>
          <w:rFonts w:asciiTheme="minorHAnsi" w:hAnsiTheme="minorHAnsi"/>
          <w:color w:val="000000" w:themeColor="text1"/>
          <w:sz w:val="22"/>
          <w:szCs w:val="22"/>
        </w:rPr>
        <w:t xml:space="preserve"> on the log scale</w:t>
      </w:r>
      <w:r w:rsidRPr="536F84AA">
        <w:rPr>
          <w:rFonts w:asciiTheme="minorHAnsi" w:hAnsiTheme="minorHAnsi"/>
          <w:color w:val="000000" w:themeColor="text1"/>
          <w:sz w:val="22"/>
          <w:szCs w:val="22"/>
        </w:rPr>
        <w:t xml:space="preserve">) as </w:t>
      </w:r>
      <w:r w:rsidRPr="536F84AA" w:rsidR="00F01264">
        <w:rPr>
          <w:rFonts w:asciiTheme="minorHAnsi" w:hAnsiTheme="minorHAnsi"/>
          <w:color w:val="000000" w:themeColor="text1"/>
          <w:sz w:val="22"/>
          <w:szCs w:val="22"/>
        </w:rPr>
        <w:t>covariates</w:t>
      </w:r>
      <w:r w:rsidRPr="536F84AA">
        <w:rPr>
          <w:rFonts w:asciiTheme="minorHAnsi" w:hAnsiTheme="minorHAnsi"/>
          <w:color w:val="000000" w:themeColor="text1"/>
          <w:sz w:val="22"/>
          <w:szCs w:val="22"/>
        </w:rPr>
        <w:t>; with shared frailty for study site</w:t>
      </w:r>
      <w:r w:rsidR="007468FD">
        <w:rPr>
          <w:rFonts w:asciiTheme="minorHAnsi" w:hAnsiTheme="minorHAnsi"/>
          <w:color w:val="000000" w:themeColor="text1"/>
          <w:sz w:val="22"/>
          <w:szCs w:val="22"/>
        </w:rPr>
        <w:t xml:space="preserve"> and day 7 methaemoglobin concentration</w:t>
      </w:r>
      <w:r w:rsidRPr="536F84AA">
        <w:rPr>
          <w:rFonts w:asciiTheme="minorHAnsi" w:hAnsiTheme="minorHAnsi"/>
          <w:color w:val="000000" w:themeColor="text1"/>
          <w:sz w:val="22"/>
          <w:szCs w:val="22"/>
        </w:rPr>
        <w:t>.</w:t>
      </w:r>
      <w:r w:rsidR="007468FD">
        <w:rPr>
          <w:rFonts w:asciiTheme="minorHAnsi" w:hAnsiTheme="minorHAnsi"/>
          <w:color w:val="000000" w:themeColor="text1"/>
          <w:sz w:val="22"/>
          <w:szCs w:val="22"/>
        </w:rPr>
        <w:t xml:space="preserve"> An interaction between daily primaquine dose and primaquine regimen will be included.</w:t>
      </w:r>
      <w:r w:rsidRPr="536F84AA">
        <w:rPr>
          <w:rFonts w:asciiTheme="minorHAnsi" w:hAnsiTheme="minorHAnsi"/>
          <w:color w:val="000000" w:themeColor="text1"/>
          <w:sz w:val="22"/>
          <w:szCs w:val="22"/>
        </w:rPr>
        <w:t xml:space="preserve"> </w:t>
      </w:r>
      <w:r w:rsidRPr="536F84AA" w:rsidR="00F01264">
        <w:rPr>
          <w:rFonts w:asciiTheme="minorHAnsi" w:hAnsiTheme="minorHAnsi"/>
          <w:color w:val="000000" w:themeColor="text1"/>
          <w:sz w:val="22"/>
          <w:szCs w:val="22"/>
        </w:rPr>
        <w:t xml:space="preserve">The analysis will be stratified by the duration of primaquine treatment (7 days versus 14 days); adjusted hazard ratios in each </w:t>
      </w:r>
      <w:r w:rsidRPr="536F84AA" w:rsidR="00F71C3D">
        <w:rPr>
          <w:rFonts w:asciiTheme="minorHAnsi" w:hAnsiTheme="minorHAnsi"/>
          <w:color w:val="000000" w:themeColor="text1"/>
          <w:sz w:val="22"/>
          <w:szCs w:val="22"/>
        </w:rPr>
        <w:t>stratum</w:t>
      </w:r>
      <w:r w:rsidRPr="536F84AA" w:rsidR="00F01264">
        <w:rPr>
          <w:rFonts w:asciiTheme="minorHAnsi" w:hAnsiTheme="minorHAnsi"/>
          <w:color w:val="000000" w:themeColor="text1"/>
          <w:sz w:val="22"/>
          <w:szCs w:val="22"/>
        </w:rPr>
        <w:t xml:space="preserve"> will be presented (mean and 95% confidence intervals) along with a meta-analytic estimate.</w:t>
      </w:r>
    </w:p>
    <w:p w:rsidRPr="005458DF" w:rsidR="005458DF" w:rsidP="005458DF" w:rsidRDefault="005458DF" w14:paraId="0480BC9A" w14:textId="77777777">
      <w:pPr>
        <w:pStyle w:val="Default"/>
        <w:spacing w:line="276" w:lineRule="auto"/>
        <w:ind w:left="774"/>
        <w:rPr>
          <w:rStyle w:val="Strong"/>
          <w:rFonts w:asciiTheme="minorHAnsi" w:hAnsiTheme="minorHAnsi"/>
          <w:color w:val="000000" w:themeColor="text1"/>
          <w:szCs w:val="22"/>
        </w:rPr>
      </w:pPr>
    </w:p>
    <w:p w:rsidRPr="00912466" w:rsidR="002D460B" w:rsidP="007B683C" w:rsidRDefault="002D460B" w14:paraId="44DC0A23" w14:textId="0D524F2D">
      <w:pPr>
        <w:pStyle w:val="ListParagraph"/>
        <w:numPr>
          <w:ilvl w:val="0"/>
          <w:numId w:val="6"/>
        </w:numPr>
        <w:ind w:hanging="720"/>
        <w:rPr>
          <w:rStyle w:val="Strong"/>
          <w:b/>
          <w:bCs/>
          <w:lang w:val="en-GB"/>
        </w:rPr>
      </w:pPr>
      <w:r>
        <w:rPr>
          <w:rStyle w:val="Strong"/>
          <w:b/>
          <w:bCs/>
          <w:lang w:val="en-GB"/>
        </w:rPr>
        <w:t>Exploratory analyses</w:t>
      </w:r>
    </w:p>
    <w:p w:rsidR="00AC0DB0" w:rsidP="002A7E33" w:rsidRDefault="005133DC" w14:paraId="1374BBA2" w14:textId="6445CE2B">
      <w:pPr>
        <w:rPr>
          <w:rStyle w:val="Strong"/>
          <w:u w:val="single"/>
        </w:rPr>
      </w:pPr>
      <w:r w:rsidRPr="005133DC">
        <w:rPr>
          <w:rStyle w:val="Strong"/>
          <w:u w:val="single"/>
        </w:rPr>
        <w:t>Secondary endpoints:</w:t>
      </w:r>
    </w:p>
    <w:p w:rsidRPr="009515EB" w:rsidR="00515DF3" w:rsidP="321F7F91" w:rsidRDefault="005B03C5" w14:paraId="769506CA" w14:textId="0E4483F0">
      <w:pPr>
        <w:pStyle w:val="Default"/>
        <w:spacing w:line="276" w:lineRule="auto"/>
        <w:rPr>
          <w:rFonts w:asciiTheme="minorHAnsi" w:hAnsiTheme="minorHAnsi"/>
          <w:color w:val="000000" w:themeColor="text1"/>
          <w:sz w:val="22"/>
          <w:szCs w:val="22"/>
        </w:rPr>
      </w:pPr>
      <w:r w:rsidRPr="321F7F91">
        <w:rPr>
          <w:rFonts w:asciiTheme="minorHAnsi" w:hAnsiTheme="minorHAnsi"/>
          <w:color w:val="000000" w:themeColor="text1"/>
          <w:sz w:val="22"/>
          <w:szCs w:val="22"/>
        </w:rPr>
        <w:t>We will explore the secondary endpoints below</w:t>
      </w:r>
      <w:r w:rsidRPr="321F7F91" w:rsidR="002328EE">
        <w:rPr>
          <w:rFonts w:asciiTheme="minorHAnsi" w:hAnsiTheme="minorHAnsi"/>
          <w:color w:val="000000" w:themeColor="text1"/>
          <w:sz w:val="22"/>
          <w:szCs w:val="22"/>
        </w:rPr>
        <w:t xml:space="preserve"> </w:t>
      </w:r>
      <w:r w:rsidRPr="321F7F91" w:rsidR="00CF21FD">
        <w:rPr>
          <w:rFonts w:asciiTheme="minorHAnsi" w:hAnsiTheme="minorHAnsi"/>
          <w:color w:val="000000" w:themeColor="text1"/>
          <w:sz w:val="22"/>
          <w:szCs w:val="22"/>
        </w:rPr>
        <w:t>using the main</w:t>
      </w:r>
      <w:r w:rsidRPr="321F7F91" w:rsidR="370F22F2">
        <w:rPr>
          <w:rFonts w:asciiTheme="minorHAnsi" w:hAnsiTheme="minorHAnsi"/>
          <w:color w:val="000000" w:themeColor="text1"/>
          <w:sz w:val="22"/>
          <w:szCs w:val="22"/>
        </w:rPr>
        <w:t>-</w:t>
      </w:r>
      <w:r w:rsidRPr="321F7F91" w:rsidR="00CF21FD">
        <w:rPr>
          <w:rFonts w:asciiTheme="minorHAnsi" w:hAnsiTheme="minorHAnsi"/>
          <w:color w:val="000000" w:themeColor="text1"/>
          <w:sz w:val="22"/>
          <w:szCs w:val="22"/>
        </w:rPr>
        <w:t>analysis</w:t>
      </w:r>
      <w:r w:rsidRPr="321F7F91" w:rsidR="519A3927">
        <w:rPr>
          <w:rFonts w:asciiTheme="minorHAnsi" w:hAnsiTheme="minorHAnsi"/>
          <w:color w:val="000000" w:themeColor="text1"/>
          <w:sz w:val="22"/>
          <w:szCs w:val="22"/>
        </w:rPr>
        <w:t xml:space="preserve"> framework</w:t>
      </w:r>
      <w:r w:rsidRPr="321F7F91" w:rsidR="00CF21FD">
        <w:rPr>
          <w:rFonts w:asciiTheme="minorHAnsi" w:hAnsiTheme="minorHAnsi"/>
          <w:color w:val="000000" w:themeColor="text1"/>
          <w:sz w:val="22"/>
          <w:szCs w:val="22"/>
        </w:rPr>
        <w:t>.</w:t>
      </w:r>
    </w:p>
    <w:p w:rsidRPr="00130410" w:rsidR="00B94A6D" w:rsidP="321F7F91" w:rsidRDefault="00B94A6D" w14:paraId="11A4ABB6" w14:textId="51AF5807">
      <w:pPr>
        <w:pStyle w:val="Default"/>
        <w:numPr>
          <w:ilvl w:val="0"/>
          <w:numId w:val="14"/>
        </w:numPr>
        <w:spacing w:line="276" w:lineRule="auto"/>
        <w:ind w:left="284" w:hanging="284"/>
        <w:rPr>
          <w:rFonts w:asciiTheme="minorHAnsi" w:hAnsiTheme="minorHAnsi"/>
          <w:b/>
          <w:bCs/>
          <w:color w:val="000000" w:themeColor="text1"/>
          <w:sz w:val="22"/>
          <w:szCs w:val="22"/>
        </w:rPr>
      </w:pPr>
      <w:r w:rsidRPr="321F7F91">
        <w:rPr>
          <w:rFonts w:asciiTheme="minorHAnsi" w:hAnsiTheme="minorHAnsi"/>
          <w:color w:val="000000" w:themeColor="text1"/>
          <w:sz w:val="22"/>
          <w:szCs w:val="22"/>
        </w:rPr>
        <w:t xml:space="preserve">Any </w:t>
      </w:r>
      <w:r w:rsidRPr="321F7F91">
        <w:rPr>
          <w:rFonts w:asciiTheme="minorHAnsi" w:hAnsiTheme="minorHAnsi"/>
          <w:i/>
          <w:iCs/>
          <w:color w:val="000000" w:themeColor="text1"/>
          <w:sz w:val="22"/>
          <w:szCs w:val="22"/>
        </w:rPr>
        <w:t>Plasmodium vivax</w:t>
      </w:r>
      <w:r w:rsidRPr="321F7F91">
        <w:rPr>
          <w:rFonts w:asciiTheme="minorHAnsi" w:hAnsiTheme="minorHAnsi"/>
          <w:color w:val="000000" w:themeColor="text1"/>
          <w:sz w:val="22"/>
          <w:szCs w:val="22"/>
        </w:rPr>
        <w:t xml:space="preserve"> recurrence by 4 months (binary endpoint)</w:t>
      </w:r>
      <w:r w:rsidRPr="321F7F91" w:rsidR="00EA430F">
        <w:rPr>
          <w:rFonts w:asciiTheme="minorHAnsi" w:hAnsiTheme="minorHAnsi"/>
          <w:color w:val="000000" w:themeColor="text1"/>
          <w:sz w:val="22"/>
          <w:szCs w:val="22"/>
        </w:rPr>
        <w:t>, restricting to studies with at least 4 months</w:t>
      </w:r>
      <w:r w:rsidRPr="321F7F91" w:rsidR="009168EA">
        <w:rPr>
          <w:rFonts w:asciiTheme="minorHAnsi" w:hAnsiTheme="minorHAnsi"/>
          <w:color w:val="000000" w:themeColor="text1"/>
          <w:sz w:val="22"/>
          <w:szCs w:val="22"/>
        </w:rPr>
        <w:t xml:space="preserve"> follow-up</w:t>
      </w:r>
      <w:r w:rsidRPr="321F7F91" w:rsidR="02EE95E1">
        <w:rPr>
          <w:rFonts w:asciiTheme="minorHAnsi" w:hAnsiTheme="minorHAnsi"/>
          <w:color w:val="000000" w:themeColor="text1"/>
          <w:sz w:val="22"/>
          <w:szCs w:val="22"/>
        </w:rPr>
        <w:t xml:space="preserve"> </w:t>
      </w:r>
      <w:r w:rsidRPr="321F7F91" w:rsidR="3748823A">
        <w:rPr>
          <w:rFonts w:asciiTheme="minorHAnsi" w:hAnsiTheme="minorHAnsi"/>
          <w:color w:val="000000" w:themeColor="text1"/>
          <w:sz w:val="22"/>
          <w:szCs w:val="22"/>
        </w:rPr>
        <w:t xml:space="preserve">using </w:t>
      </w:r>
      <w:r w:rsidRPr="321F7F91" w:rsidR="02EE95E1">
        <w:rPr>
          <w:rFonts w:asciiTheme="minorHAnsi" w:hAnsiTheme="minorHAnsi"/>
          <w:color w:val="000000" w:themeColor="text1"/>
          <w:sz w:val="22"/>
          <w:szCs w:val="22"/>
        </w:rPr>
        <w:t>multivariable logistic regression</w:t>
      </w:r>
      <w:r w:rsidRPr="321F7F91" w:rsidR="00EA430F">
        <w:rPr>
          <w:rFonts w:asciiTheme="minorHAnsi" w:hAnsiTheme="minorHAnsi"/>
          <w:color w:val="000000" w:themeColor="text1"/>
          <w:sz w:val="22"/>
          <w:szCs w:val="22"/>
        </w:rPr>
        <w:t>.</w:t>
      </w:r>
    </w:p>
    <w:p w:rsidRPr="00AA4F5B" w:rsidR="00B263AB" w:rsidP="321F7F91" w:rsidRDefault="0E68E901" w14:paraId="1E418F2E" w14:textId="6031AF79">
      <w:pPr>
        <w:pStyle w:val="Default"/>
        <w:numPr>
          <w:ilvl w:val="0"/>
          <w:numId w:val="14"/>
        </w:numPr>
        <w:spacing w:after="240" w:line="276" w:lineRule="auto"/>
        <w:ind w:left="284" w:hanging="284"/>
        <w:rPr>
          <w:rFonts w:asciiTheme="minorHAnsi" w:hAnsiTheme="minorHAnsi"/>
          <w:color w:val="000000" w:themeColor="text1"/>
          <w:sz w:val="22"/>
          <w:szCs w:val="22"/>
        </w:rPr>
      </w:pPr>
      <w:r w:rsidRPr="1674DEA4">
        <w:rPr>
          <w:rFonts w:asciiTheme="minorHAnsi" w:hAnsiTheme="minorHAnsi"/>
          <w:color w:val="000000" w:themeColor="text1"/>
          <w:sz w:val="22"/>
          <w:szCs w:val="22"/>
        </w:rPr>
        <w:t xml:space="preserve">Absolute </w:t>
      </w:r>
      <w:r w:rsidRPr="1674DEA4" w:rsidR="00B263AB">
        <w:rPr>
          <w:rFonts w:asciiTheme="minorHAnsi" w:hAnsiTheme="minorHAnsi"/>
          <w:color w:val="000000" w:themeColor="text1"/>
          <w:sz w:val="22"/>
          <w:szCs w:val="22"/>
        </w:rPr>
        <w:t>change</w:t>
      </w:r>
      <w:r w:rsidRPr="1674DEA4" w:rsidR="002B693D">
        <w:rPr>
          <w:rFonts w:asciiTheme="minorHAnsi" w:hAnsiTheme="minorHAnsi"/>
          <w:color w:val="000000" w:themeColor="text1"/>
          <w:sz w:val="22"/>
          <w:szCs w:val="22"/>
        </w:rPr>
        <w:t xml:space="preserve"> (continuous endpoint)</w:t>
      </w:r>
      <w:r w:rsidRPr="1674DEA4" w:rsidR="00B263AB">
        <w:rPr>
          <w:rFonts w:asciiTheme="minorHAnsi" w:hAnsiTheme="minorHAnsi"/>
          <w:color w:val="000000" w:themeColor="text1"/>
          <w:sz w:val="22"/>
          <w:szCs w:val="22"/>
        </w:rPr>
        <w:t xml:space="preserve"> in haemoglobin from baseline to the minimum haemoglobin concentration on day 2 or 3, representing the safety outcome</w:t>
      </w:r>
      <w:r w:rsidRPr="1674DEA4" w:rsidR="5932EA4B">
        <w:rPr>
          <w:rFonts w:asciiTheme="minorHAnsi" w:hAnsiTheme="minorHAnsi"/>
          <w:color w:val="000000" w:themeColor="text1"/>
          <w:sz w:val="22"/>
          <w:szCs w:val="22"/>
        </w:rPr>
        <w:t xml:space="preserve"> </w:t>
      </w:r>
      <w:r w:rsidRPr="1674DEA4" w:rsidR="6D247B48">
        <w:rPr>
          <w:rFonts w:asciiTheme="minorHAnsi" w:hAnsiTheme="minorHAnsi"/>
          <w:color w:val="000000" w:themeColor="text1"/>
          <w:sz w:val="22"/>
          <w:szCs w:val="22"/>
        </w:rPr>
        <w:t xml:space="preserve">using </w:t>
      </w:r>
      <w:r w:rsidRPr="1674DEA4" w:rsidR="5932EA4B">
        <w:rPr>
          <w:rFonts w:asciiTheme="minorHAnsi" w:hAnsiTheme="minorHAnsi"/>
          <w:color w:val="000000" w:themeColor="text1"/>
          <w:sz w:val="22"/>
          <w:szCs w:val="22"/>
        </w:rPr>
        <w:t xml:space="preserve">multivariable </w:t>
      </w:r>
      <w:r w:rsidRPr="1674DEA4" w:rsidR="1FAF28C6">
        <w:rPr>
          <w:rFonts w:asciiTheme="minorHAnsi" w:hAnsiTheme="minorHAnsi"/>
          <w:color w:val="000000" w:themeColor="text1"/>
          <w:sz w:val="22"/>
          <w:szCs w:val="22"/>
        </w:rPr>
        <w:t>linear regression</w:t>
      </w:r>
      <w:r w:rsidRPr="1674DEA4" w:rsidR="00B263AB">
        <w:rPr>
          <w:rFonts w:asciiTheme="minorHAnsi" w:hAnsiTheme="minorHAnsi"/>
          <w:color w:val="000000" w:themeColor="text1"/>
          <w:sz w:val="22"/>
          <w:szCs w:val="22"/>
        </w:rPr>
        <w:t>.</w:t>
      </w:r>
      <w:r w:rsidRPr="1674DEA4" w:rsidR="7EF5F3EF">
        <w:rPr>
          <w:rFonts w:asciiTheme="minorHAnsi" w:hAnsiTheme="minorHAnsi"/>
          <w:color w:val="000000" w:themeColor="text1"/>
          <w:sz w:val="22"/>
          <w:szCs w:val="22"/>
        </w:rPr>
        <w:t xml:space="preserve"> The model will be adjusted for baseline Hb.</w:t>
      </w:r>
    </w:p>
    <w:p w:rsidRPr="00DC7B4C" w:rsidR="005133DC" w:rsidP="002A7E33" w:rsidRDefault="00DC7B4C" w14:paraId="03C2F8E0" w14:textId="5EAEE9C6">
      <w:pPr>
        <w:rPr>
          <w:rStyle w:val="Strong"/>
          <w:u w:val="single"/>
        </w:rPr>
      </w:pPr>
      <w:r>
        <w:rPr>
          <w:rStyle w:val="Strong"/>
          <w:u w:val="single"/>
        </w:rPr>
        <w:t xml:space="preserve">Alternative summary statistics predictive of the </w:t>
      </w:r>
      <w:r w:rsidR="00EF31BB">
        <w:rPr>
          <w:rStyle w:val="Strong"/>
          <w:u w:val="single"/>
        </w:rPr>
        <w:t xml:space="preserve">efficacy and safety </w:t>
      </w:r>
      <w:r>
        <w:rPr>
          <w:rStyle w:val="Strong"/>
          <w:u w:val="single"/>
        </w:rPr>
        <w:t>endpoints:</w:t>
      </w:r>
    </w:p>
    <w:p w:rsidR="00B94A6D" w:rsidP="002A7E33" w:rsidRDefault="00BC6585" w14:paraId="1DD08E05" w14:textId="5AABBDEE">
      <w:pPr>
        <w:rPr>
          <w:rFonts w:ascii="Calibri" w:hAnsi="Calibri" w:eastAsia="Calibri" w:cs="Calibri"/>
          <w:color w:val="000000" w:themeColor="text1"/>
        </w:rPr>
      </w:pPr>
      <w:r>
        <w:rPr>
          <w:rStyle w:val="Strong"/>
        </w:rPr>
        <w:t xml:space="preserve">In addition to the day-7 </w:t>
      </w:r>
      <w:r w:rsidR="0058490F">
        <w:rPr>
          <w:rStyle w:val="Strong"/>
        </w:rPr>
        <w:t>concentration, we will explore</w:t>
      </w:r>
      <w:r w:rsidR="00BE0F5D">
        <w:rPr>
          <w:rStyle w:val="Strong"/>
        </w:rPr>
        <w:t xml:space="preserve"> </w:t>
      </w:r>
      <w:r w:rsidR="00C37D5B">
        <w:rPr>
          <w:rStyle w:val="Strong"/>
        </w:rPr>
        <w:t>two</w:t>
      </w:r>
      <w:r w:rsidR="00E671F5">
        <w:rPr>
          <w:rStyle w:val="Strong"/>
        </w:rPr>
        <w:t xml:space="preserve"> </w:t>
      </w:r>
      <w:r w:rsidR="00040E2A">
        <w:rPr>
          <w:rStyle w:val="Strong"/>
        </w:rPr>
        <w:t xml:space="preserve">other </w:t>
      </w:r>
      <w:r w:rsidR="00E671F5">
        <w:rPr>
          <w:rStyle w:val="Strong"/>
        </w:rPr>
        <w:t>statistics that summarise</w:t>
      </w:r>
      <w:r w:rsidR="00507077">
        <w:rPr>
          <w:rStyle w:val="Strong"/>
        </w:rPr>
        <w:t xml:space="preserve"> primaquine-induced methaemoglobin production</w:t>
      </w:r>
      <w:r w:rsidR="006E30A7">
        <w:rPr>
          <w:rStyle w:val="Strong"/>
        </w:rPr>
        <w:t>:</w:t>
      </w:r>
      <w:r w:rsidR="00BC5536">
        <w:rPr>
          <w:rStyle w:val="Strong"/>
        </w:rPr>
        <w:t xml:space="preserve"> (1) A</w:t>
      </w:r>
      <w:r w:rsidRPr="4AF9E47B" w:rsidR="006E30A7">
        <w:t>rea under the methaemoglobin concentration versus time curve from zero to infinity (</w:t>
      </w:r>
      <w:proofErr w:type="gramStart"/>
      <w:r w:rsidRPr="4AF9E47B" w:rsidR="006E30A7">
        <w:t>AUC</w:t>
      </w:r>
      <w:r w:rsidRPr="4AF9E47B" w:rsidR="006E30A7">
        <w:rPr>
          <w:vertAlign w:val="subscript"/>
        </w:rPr>
        <w:t>[</w:t>
      </w:r>
      <w:proofErr w:type="gramEnd"/>
      <w:r w:rsidRPr="4AF9E47B" w:rsidR="006E30A7">
        <w:rPr>
          <w:vertAlign w:val="subscript"/>
        </w:rPr>
        <w:t>0, ∞)</w:t>
      </w:r>
      <w:r w:rsidRPr="4AF9E47B" w:rsidR="006E30A7">
        <w:t>), i.e., the definite integral of the methaemoglobin levels after the initial primaquine administration as a function of time.</w:t>
      </w:r>
      <w:r w:rsidR="00BC5536">
        <w:t xml:space="preserve"> (2) </w:t>
      </w:r>
      <w:r w:rsidRPr="4AF9E47B" w:rsidR="006E30A7">
        <w:t>Maximum methaemoglobin concentration (</w:t>
      </w:r>
      <w:proofErr w:type="spellStart"/>
      <w:r w:rsidRPr="4AF9E47B" w:rsidR="006E30A7">
        <w:t>C</w:t>
      </w:r>
      <w:r w:rsidRPr="4AF9E47B" w:rsidR="006E30A7">
        <w:rPr>
          <w:vertAlign w:val="subscript"/>
        </w:rPr>
        <w:t>max</w:t>
      </w:r>
      <w:proofErr w:type="spellEnd"/>
      <w:r w:rsidRPr="4AF9E47B" w:rsidR="006E30A7">
        <w:t>), i.e., the peak methaemoglobin level after the initial primaquine administration.</w:t>
      </w:r>
      <w:r w:rsidR="00BC5536">
        <w:rPr>
          <w:rFonts w:ascii="Calibri" w:hAnsi="Calibri"/>
        </w:rPr>
        <w:t xml:space="preserve"> </w:t>
      </w:r>
      <w:r w:rsidRPr="005735B9" w:rsidR="005735B9">
        <w:t>These summary statistics will be estimated using population nonlinear mixed-effects modelling.</w:t>
      </w:r>
      <w:r w:rsidR="00535438">
        <w:rPr>
          <w:rStyle w:val="Strong"/>
          <w:rFonts w:asciiTheme="minorHAnsi" w:hAnsiTheme="minorHAnsi"/>
        </w:rPr>
        <w:t xml:space="preserve"> </w:t>
      </w:r>
      <w:r w:rsidR="009E7F06">
        <w:rPr>
          <w:rStyle w:val="Strong"/>
          <w:rFonts w:asciiTheme="minorHAnsi" w:hAnsiTheme="minorHAnsi"/>
        </w:rPr>
        <w:t>As in the main analysis,</w:t>
      </w:r>
      <w:r w:rsidR="00535438">
        <w:rPr>
          <w:rStyle w:val="Strong"/>
          <w:rFonts w:asciiTheme="minorHAnsi" w:hAnsiTheme="minorHAnsi"/>
        </w:rPr>
        <w:t xml:space="preserve"> we will </w:t>
      </w:r>
      <w:r w:rsidRPr="006B1CBE" w:rsidR="005A17F7">
        <w:rPr>
          <w:rFonts w:ascii="Calibri" w:hAnsi="Calibri" w:eastAsia="Calibri" w:cs="Calibri"/>
          <w:color w:val="000000" w:themeColor="text1"/>
        </w:rPr>
        <w:t xml:space="preserve">model </w:t>
      </w:r>
      <w:r w:rsidR="003A68ED">
        <w:rPr>
          <w:rFonts w:ascii="Calibri" w:hAnsi="Calibri" w:eastAsia="Calibri" w:cs="Calibri"/>
          <w:color w:val="000000" w:themeColor="text1"/>
        </w:rPr>
        <w:t xml:space="preserve">each of </w:t>
      </w:r>
      <w:r w:rsidRPr="006B1CBE" w:rsidR="005A17F7">
        <w:rPr>
          <w:rFonts w:ascii="Calibri" w:hAnsi="Calibri" w:eastAsia="Calibri" w:cs="Calibri"/>
          <w:color w:val="000000" w:themeColor="text1"/>
        </w:rPr>
        <w:t>the dose-response methaemoglobin summary statistic</w:t>
      </w:r>
      <w:r w:rsidR="003A68ED">
        <w:rPr>
          <w:rFonts w:ascii="Calibri" w:hAnsi="Calibri" w:eastAsia="Calibri" w:cs="Calibri"/>
          <w:color w:val="000000" w:themeColor="text1"/>
        </w:rPr>
        <w:t>s</w:t>
      </w:r>
      <w:r w:rsidRPr="006B1CBE" w:rsidR="005A17F7">
        <w:rPr>
          <w:rFonts w:ascii="Calibri" w:hAnsi="Calibri" w:eastAsia="Calibri" w:cs="Calibri"/>
          <w:color w:val="000000" w:themeColor="text1"/>
        </w:rPr>
        <w:t xml:space="preserve"> to predict the time to first </w:t>
      </w:r>
      <w:r w:rsidRPr="006B1CBE" w:rsidR="005A17F7">
        <w:rPr>
          <w:rFonts w:ascii="Calibri" w:hAnsi="Calibri" w:eastAsia="Calibri" w:cs="Calibri"/>
          <w:i/>
          <w:iCs/>
          <w:color w:val="000000" w:themeColor="text1"/>
        </w:rPr>
        <w:t>P. vivax</w:t>
      </w:r>
      <w:r w:rsidRPr="006B1CBE" w:rsidR="005A17F7">
        <w:rPr>
          <w:rFonts w:ascii="Calibri" w:hAnsi="Calibri" w:eastAsia="Calibri" w:cs="Calibri"/>
          <w:color w:val="000000" w:themeColor="text1"/>
        </w:rPr>
        <w:t xml:space="preserve"> recurrence</w:t>
      </w:r>
      <w:r w:rsidR="00880651">
        <w:rPr>
          <w:rFonts w:ascii="Calibri" w:hAnsi="Calibri" w:eastAsia="Calibri" w:cs="Calibri"/>
          <w:color w:val="000000" w:themeColor="text1"/>
        </w:rPr>
        <w:t>. The secondary endpoints will also be modelled</w:t>
      </w:r>
      <w:r w:rsidR="007B683C">
        <w:rPr>
          <w:rFonts w:ascii="Calibri" w:hAnsi="Calibri" w:eastAsia="Calibri" w:cs="Calibri"/>
          <w:color w:val="000000" w:themeColor="text1"/>
        </w:rPr>
        <w:t xml:space="preserve"> using these </w:t>
      </w:r>
      <w:r w:rsidR="00B94A6D">
        <w:rPr>
          <w:rFonts w:ascii="Calibri" w:hAnsi="Calibri" w:eastAsia="Calibri" w:cs="Calibri"/>
          <w:color w:val="000000" w:themeColor="text1"/>
        </w:rPr>
        <w:t>summary</w:t>
      </w:r>
      <w:r w:rsidR="007B683C">
        <w:rPr>
          <w:rFonts w:ascii="Calibri" w:hAnsi="Calibri" w:eastAsia="Calibri" w:cs="Calibri"/>
          <w:color w:val="000000" w:themeColor="text1"/>
        </w:rPr>
        <w:t xml:space="preserve"> statistics.</w:t>
      </w:r>
    </w:p>
    <w:p w:rsidR="00F01264" w:rsidP="002A7E33" w:rsidRDefault="00B94A6D" w14:paraId="6A44AE7D" w14:textId="2D121230">
      <w:pPr>
        <w:rPr>
          <w:rFonts w:ascii="Calibri" w:hAnsi="Calibri" w:eastAsia="Calibri" w:cs="Calibri"/>
          <w:color w:val="000000" w:themeColor="text1"/>
          <w:u w:val="single"/>
        </w:rPr>
      </w:pPr>
      <w:r w:rsidRPr="00B94A6D">
        <w:rPr>
          <w:rFonts w:ascii="Calibri" w:hAnsi="Calibri" w:eastAsia="Calibri" w:cs="Calibri"/>
          <w:color w:val="000000" w:themeColor="text1"/>
          <w:u w:val="single"/>
        </w:rPr>
        <w:t>D</w:t>
      </w:r>
      <w:r w:rsidRPr="00B94A6D" w:rsidR="00F01264">
        <w:rPr>
          <w:rFonts w:ascii="Calibri" w:hAnsi="Calibri" w:eastAsia="Calibri" w:cs="Calibri"/>
          <w:color w:val="000000" w:themeColor="text1"/>
          <w:u w:val="single"/>
        </w:rPr>
        <w:t xml:space="preserve">eterminants and other correlates of </w:t>
      </w:r>
      <w:r w:rsidR="00EF31BB">
        <w:rPr>
          <w:rFonts w:ascii="Calibri" w:hAnsi="Calibri" w:eastAsia="Calibri" w:cs="Calibri"/>
          <w:color w:val="000000" w:themeColor="text1"/>
          <w:u w:val="single"/>
        </w:rPr>
        <w:t>methaemoglobin production</w:t>
      </w:r>
      <w:r w:rsidRPr="00B94A6D" w:rsidR="00F01264">
        <w:rPr>
          <w:rFonts w:ascii="Calibri" w:hAnsi="Calibri" w:eastAsia="Calibri" w:cs="Calibri"/>
          <w:color w:val="000000" w:themeColor="text1"/>
          <w:u w:val="single"/>
        </w:rPr>
        <w:t>:</w:t>
      </w:r>
    </w:p>
    <w:p w:rsidRPr="00BC5536" w:rsidR="00B94A6D" w:rsidP="003A38AF" w:rsidRDefault="0031057B" w14:paraId="1405B2CF" w14:textId="56C5F910">
      <w:pPr>
        <w:rPr>
          <w:rStyle w:val="Strong"/>
        </w:rPr>
      </w:pPr>
      <w:r>
        <w:rPr>
          <w:rFonts w:ascii="Calibri" w:hAnsi="Calibri" w:eastAsia="Calibri" w:cs="Calibri"/>
          <w:color w:val="000000" w:themeColor="text1"/>
        </w:rPr>
        <w:t>We</w:t>
      </w:r>
      <w:r w:rsidR="00342E0F">
        <w:rPr>
          <w:rFonts w:ascii="Calibri" w:hAnsi="Calibri" w:eastAsia="Calibri" w:cs="Calibri"/>
          <w:color w:val="000000" w:themeColor="text1"/>
        </w:rPr>
        <w:t xml:space="preserve"> will also explore the determinants and </w:t>
      </w:r>
      <w:r w:rsidR="00B339F7">
        <w:rPr>
          <w:rFonts w:ascii="Calibri" w:hAnsi="Calibri" w:eastAsia="Calibri" w:cs="Calibri"/>
          <w:color w:val="000000" w:themeColor="text1"/>
        </w:rPr>
        <w:t>predictors of methaemoglobin production</w:t>
      </w:r>
      <w:r>
        <w:rPr>
          <w:rFonts w:ascii="Calibri" w:hAnsi="Calibri" w:eastAsia="Calibri" w:cs="Calibri"/>
          <w:color w:val="000000" w:themeColor="text1"/>
        </w:rPr>
        <w:t xml:space="preserve"> under the same causal model</w:t>
      </w:r>
      <w:r w:rsidR="00BE6678">
        <w:rPr>
          <w:rFonts w:ascii="Calibri" w:hAnsi="Calibri" w:eastAsia="Calibri" w:cs="Calibri"/>
          <w:color w:val="000000" w:themeColor="text1"/>
        </w:rPr>
        <w:t xml:space="preserve">; </w:t>
      </w:r>
      <w:r w:rsidR="00896744">
        <w:rPr>
          <w:rFonts w:ascii="Calibri" w:hAnsi="Calibri" w:eastAsia="Calibri" w:cs="Calibri"/>
          <w:color w:val="000000" w:themeColor="text1"/>
        </w:rPr>
        <w:t xml:space="preserve">by specifying </w:t>
      </w:r>
      <w:r w:rsidR="00BA549B">
        <w:rPr>
          <w:rFonts w:ascii="Calibri" w:hAnsi="Calibri" w:eastAsia="Calibri" w:cs="Calibri"/>
          <w:color w:val="000000" w:themeColor="text1"/>
        </w:rPr>
        <w:t>linear mixed-effects model</w:t>
      </w:r>
      <w:r w:rsidR="00F24F1C">
        <w:rPr>
          <w:rFonts w:ascii="Calibri" w:hAnsi="Calibri" w:eastAsia="Calibri" w:cs="Calibri"/>
          <w:color w:val="000000" w:themeColor="text1"/>
        </w:rPr>
        <w:t>s</w:t>
      </w:r>
      <w:r w:rsidR="006E2853">
        <w:rPr>
          <w:rFonts w:ascii="Calibri" w:hAnsi="Calibri" w:eastAsia="Calibri" w:cs="Calibri"/>
          <w:color w:val="000000" w:themeColor="text1"/>
        </w:rPr>
        <w:t xml:space="preserve"> with</w:t>
      </w:r>
      <w:r w:rsidR="00ED2D3C">
        <w:rPr>
          <w:rFonts w:ascii="Calibri" w:hAnsi="Calibri" w:eastAsia="Calibri" w:cs="Calibri"/>
          <w:color w:val="000000" w:themeColor="text1"/>
        </w:rPr>
        <w:t xml:space="preserve"> day-7</w:t>
      </w:r>
      <w:r w:rsidR="006E2853">
        <w:rPr>
          <w:rFonts w:ascii="Calibri" w:hAnsi="Calibri" w:eastAsia="Calibri" w:cs="Calibri"/>
          <w:color w:val="000000" w:themeColor="text1"/>
        </w:rPr>
        <w:t xml:space="preserve"> </w:t>
      </w:r>
      <w:r w:rsidR="00896744">
        <w:rPr>
          <w:rFonts w:ascii="Calibri" w:hAnsi="Calibri" w:eastAsia="Calibri" w:cs="Calibri"/>
          <w:color w:val="000000" w:themeColor="text1"/>
        </w:rPr>
        <w:t>methaemoglobin concentrations (on the log scale) as the endpoint</w:t>
      </w:r>
      <w:r w:rsidR="006E2853">
        <w:rPr>
          <w:rFonts w:ascii="Calibri" w:hAnsi="Calibri" w:eastAsia="Calibri" w:cs="Calibri"/>
          <w:color w:val="000000" w:themeColor="text1"/>
        </w:rPr>
        <w:t xml:space="preserve">. </w:t>
      </w:r>
      <w:r w:rsidR="00704342">
        <w:rPr>
          <w:rFonts w:ascii="Calibri" w:hAnsi="Calibri" w:eastAsia="Calibri" w:cs="Calibri"/>
          <w:color w:val="000000" w:themeColor="text1"/>
        </w:rPr>
        <w:t>We w</w:t>
      </w:r>
      <w:r w:rsidR="00BA63B7">
        <w:rPr>
          <w:rFonts w:ascii="Calibri" w:hAnsi="Calibri" w:eastAsia="Calibri" w:cs="Calibri"/>
          <w:color w:val="000000" w:themeColor="text1"/>
        </w:rPr>
        <w:t xml:space="preserve">ill </w:t>
      </w:r>
      <w:r w:rsidR="00364C5B">
        <w:rPr>
          <w:rFonts w:ascii="Calibri" w:hAnsi="Calibri" w:eastAsia="Calibri" w:cs="Calibri"/>
          <w:color w:val="000000" w:themeColor="text1"/>
        </w:rPr>
        <w:t xml:space="preserve">investigate how G6PD </w:t>
      </w:r>
      <w:r w:rsidR="005301E7">
        <w:rPr>
          <w:rFonts w:ascii="Calibri" w:hAnsi="Calibri" w:eastAsia="Calibri" w:cs="Calibri"/>
          <w:color w:val="000000" w:themeColor="text1"/>
        </w:rPr>
        <w:t>status,</w:t>
      </w:r>
      <w:r w:rsidR="00364C5B">
        <w:rPr>
          <w:rFonts w:ascii="Calibri" w:hAnsi="Calibri" w:eastAsia="Calibri" w:cs="Calibri"/>
          <w:color w:val="000000" w:themeColor="text1"/>
        </w:rPr>
        <w:t xml:space="preserve"> primaquine and carboxyprimaquine</w:t>
      </w:r>
      <w:r w:rsidR="00E37960">
        <w:rPr>
          <w:rFonts w:ascii="Calibri" w:hAnsi="Calibri" w:eastAsia="Calibri" w:cs="Calibri"/>
          <w:color w:val="000000" w:themeColor="text1"/>
        </w:rPr>
        <w:t xml:space="preserve"> trough</w:t>
      </w:r>
      <w:r w:rsidR="00364C5B">
        <w:rPr>
          <w:rFonts w:ascii="Calibri" w:hAnsi="Calibri" w:eastAsia="Calibri" w:cs="Calibri"/>
          <w:color w:val="000000" w:themeColor="text1"/>
        </w:rPr>
        <w:t xml:space="preserve"> levels, </w:t>
      </w:r>
      <w:r w:rsidR="003A38AF">
        <w:rPr>
          <w:rFonts w:ascii="Calibri" w:hAnsi="Calibri" w:eastAsia="Calibri" w:cs="Calibri"/>
          <w:color w:val="000000" w:themeColor="text1"/>
        </w:rPr>
        <w:t xml:space="preserve">haemoglobin concentrations, and </w:t>
      </w:r>
      <w:r w:rsidRPr="00A44CF0" w:rsidR="003A38AF">
        <w:rPr>
          <w:rFonts w:ascii="Calibri" w:hAnsi="Calibri" w:eastAsia="Calibri" w:cs="Calibri"/>
          <w:color w:val="000000" w:themeColor="text1"/>
        </w:rPr>
        <w:t>CYP2D6</w:t>
      </w:r>
      <w:r w:rsidR="003A38AF">
        <w:rPr>
          <w:rFonts w:ascii="Calibri" w:hAnsi="Calibri" w:eastAsia="Calibri" w:cs="Calibri"/>
          <w:color w:val="000000" w:themeColor="text1"/>
        </w:rPr>
        <w:t xml:space="preserve"> activity scores</w:t>
      </w:r>
      <w:r w:rsidR="00BA63B7">
        <w:rPr>
          <w:rFonts w:ascii="Calibri" w:hAnsi="Calibri" w:eastAsia="Calibri" w:cs="Calibri"/>
          <w:color w:val="000000" w:themeColor="text1"/>
        </w:rPr>
        <w:t xml:space="preserve"> </w:t>
      </w:r>
      <w:r w:rsidR="00BA012F">
        <w:rPr>
          <w:rFonts w:ascii="Calibri" w:hAnsi="Calibri" w:eastAsia="Calibri" w:cs="Calibri"/>
          <w:color w:val="000000" w:themeColor="text1"/>
        </w:rPr>
        <w:t>relate to</w:t>
      </w:r>
      <w:r w:rsidR="001C2BCB">
        <w:rPr>
          <w:rFonts w:ascii="Calibri" w:hAnsi="Calibri" w:eastAsia="Calibri" w:cs="Calibri"/>
          <w:color w:val="000000" w:themeColor="text1"/>
        </w:rPr>
        <w:t xml:space="preserve"> methaemoglobin production.</w:t>
      </w:r>
      <w:r w:rsidR="00814E16">
        <w:rPr>
          <w:rFonts w:ascii="Calibri" w:hAnsi="Calibri" w:eastAsia="Calibri" w:cs="Calibri"/>
          <w:color w:val="000000" w:themeColor="text1"/>
        </w:rPr>
        <w:t xml:space="preserve"> </w:t>
      </w:r>
      <w:r w:rsidR="00F97226">
        <w:rPr>
          <w:rFonts w:ascii="Calibri" w:hAnsi="Calibri" w:eastAsia="Calibri" w:cs="Calibri"/>
          <w:color w:val="000000" w:themeColor="text1"/>
        </w:rPr>
        <w:t xml:space="preserve">Potential nonlinearity </w:t>
      </w:r>
      <w:r w:rsidR="009654CD">
        <w:rPr>
          <w:rFonts w:ascii="Calibri" w:hAnsi="Calibri" w:eastAsia="Calibri" w:cs="Calibri"/>
          <w:color w:val="000000" w:themeColor="text1"/>
        </w:rPr>
        <w:t>of the continuous variables will be explored</w:t>
      </w:r>
      <w:r w:rsidR="00A42F8D">
        <w:rPr>
          <w:rFonts w:ascii="Calibri" w:hAnsi="Calibri" w:eastAsia="Calibri" w:cs="Calibri"/>
          <w:color w:val="000000" w:themeColor="text1"/>
        </w:rPr>
        <w:t>.</w:t>
      </w:r>
      <w:r w:rsidR="00ED24D4">
        <w:rPr>
          <w:rFonts w:ascii="Calibri" w:hAnsi="Calibri" w:eastAsia="Calibri" w:cs="Calibri"/>
          <w:color w:val="000000" w:themeColor="text1"/>
        </w:rPr>
        <w:t xml:space="preserve"> </w:t>
      </w:r>
      <w:r>
        <w:rPr>
          <w:rFonts w:ascii="Calibri" w:hAnsi="Calibri" w:eastAsia="Calibri" w:cs="Calibri"/>
          <w:color w:val="000000" w:themeColor="text1"/>
        </w:rPr>
        <w:t>Our findings may</w:t>
      </w:r>
      <w:r w:rsidR="002E0AFD">
        <w:rPr>
          <w:rFonts w:ascii="Calibri" w:hAnsi="Calibri" w:eastAsia="Calibri" w:cs="Calibri"/>
          <w:color w:val="000000" w:themeColor="text1"/>
        </w:rPr>
        <w:t xml:space="preserve"> also inform how to best </w:t>
      </w:r>
      <w:r w:rsidR="00C819D6">
        <w:rPr>
          <w:rFonts w:ascii="Calibri" w:hAnsi="Calibri" w:eastAsia="Calibri" w:cs="Calibri"/>
          <w:color w:val="000000" w:themeColor="text1"/>
        </w:rPr>
        <w:t>divide</w:t>
      </w:r>
      <w:r w:rsidR="002E0AFD">
        <w:rPr>
          <w:rFonts w:ascii="Calibri" w:hAnsi="Calibri" w:eastAsia="Calibri" w:cs="Calibri"/>
          <w:color w:val="000000" w:themeColor="text1"/>
        </w:rPr>
        <w:t xml:space="preserve"> </w:t>
      </w:r>
      <w:r w:rsidR="00480837">
        <w:rPr>
          <w:rFonts w:ascii="Calibri" w:hAnsi="Calibri" w:eastAsia="Calibri" w:cs="Calibri"/>
          <w:color w:val="000000" w:themeColor="text1"/>
        </w:rPr>
        <w:t>CYP2D6 activity scores into</w:t>
      </w:r>
      <w:r w:rsidR="00B40BF8">
        <w:rPr>
          <w:rFonts w:ascii="Calibri" w:hAnsi="Calibri" w:eastAsia="Calibri" w:cs="Calibri"/>
          <w:color w:val="000000" w:themeColor="text1"/>
        </w:rPr>
        <w:t xml:space="preserve"> a few</w:t>
      </w:r>
      <w:r w:rsidR="00480837">
        <w:rPr>
          <w:rFonts w:ascii="Calibri" w:hAnsi="Calibri" w:eastAsia="Calibri" w:cs="Calibri"/>
          <w:color w:val="000000" w:themeColor="text1"/>
        </w:rPr>
        <w:t xml:space="preserve"> clinically meaningful </w:t>
      </w:r>
      <w:r w:rsidR="00B40BF8">
        <w:rPr>
          <w:rFonts w:ascii="Calibri" w:hAnsi="Calibri" w:eastAsia="Calibri" w:cs="Calibri"/>
          <w:color w:val="000000" w:themeColor="text1"/>
        </w:rPr>
        <w:t>categories of primaquine metabolism.</w:t>
      </w:r>
    </w:p>
    <w:p w:rsidRPr="004950CE" w:rsidR="00E451A7" w:rsidP="007B683C" w:rsidRDefault="00E451A7" w14:paraId="2EF6C39D" w14:textId="29B43A08">
      <w:pPr>
        <w:pStyle w:val="ListParagraph"/>
        <w:numPr>
          <w:ilvl w:val="0"/>
          <w:numId w:val="6"/>
        </w:numPr>
        <w:ind w:hanging="720"/>
        <w:rPr>
          <w:rStyle w:val="Strong"/>
          <w:b/>
          <w:bCs/>
          <w:lang w:val="en-GB"/>
        </w:rPr>
      </w:pPr>
      <w:r w:rsidRPr="4AF9E47B">
        <w:rPr>
          <w:rStyle w:val="Strong"/>
          <w:b/>
          <w:bCs/>
          <w:lang w:val="en-GB"/>
        </w:rPr>
        <w:t xml:space="preserve">Risk of bias </w:t>
      </w:r>
      <w:r w:rsidRPr="4AF9E47B" w:rsidR="00137252">
        <w:rPr>
          <w:rStyle w:val="Strong"/>
          <w:b/>
          <w:bCs/>
          <w:lang w:val="en-GB"/>
        </w:rPr>
        <w:t>relating to</w:t>
      </w:r>
      <w:r w:rsidRPr="4AF9E47B">
        <w:rPr>
          <w:rStyle w:val="Strong"/>
          <w:b/>
          <w:bCs/>
          <w:lang w:val="en-GB"/>
        </w:rPr>
        <w:t xml:space="preserve"> </w:t>
      </w:r>
      <w:r w:rsidRPr="4AF9E47B" w:rsidR="00137252">
        <w:rPr>
          <w:rStyle w:val="Strong"/>
          <w:b/>
          <w:bCs/>
          <w:lang w:val="en-GB"/>
        </w:rPr>
        <w:t xml:space="preserve">individual </w:t>
      </w:r>
      <w:r w:rsidRPr="4AF9E47B">
        <w:rPr>
          <w:rStyle w:val="Strong"/>
          <w:b/>
          <w:bCs/>
          <w:lang w:val="en-GB"/>
        </w:rPr>
        <w:t>studies</w:t>
      </w:r>
    </w:p>
    <w:p w:rsidRPr="0012488C" w:rsidR="00DF1D3D" w:rsidP="002A7E33" w:rsidRDefault="003F0C21" w14:paraId="16868CEE" w14:textId="11ABFD23">
      <w:pPr>
        <w:jc w:val="both"/>
        <w:rPr>
          <w:rFonts w:cstheme="minorHAnsi"/>
          <w:color w:val="000000" w:themeColor="text1"/>
        </w:rPr>
      </w:pPr>
      <w:r w:rsidRPr="4AF9E47B">
        <w:rPr>
          <w:rStyle w:val="Strong"/>
        </w:rPr>
        <w:t>T</w:t>
      </w:r>
      <w:r w:rsidRPr="4AF9E47B" w:rsidR="00137252">
        <w:rPr>
          <w:rStyle w:val="Strong"/>
        </w:rPr>
        <w:t xml:space="preserve">he </w:t>
      </w:r>
      <w:r w:rsidRPr="4AF9E47B" w:rsidR="00DF1D3D">
        <w:rPr>
          <w:rStyle w:val="Strong"/>
        </w:rPr>
        <w:t>Quality in Prognosis Studies (</w:t>
      </w:r>
      <w:r w:rsidRPr="4AF9E47B" w:rsidR="007B0648">
        <w:rPr>
          <w:rStyle w:val="Strong"/>
        </w:rPr>
        <w:t>QUIPS</w:t>
      </w:r>
      <w:r w:rsidRPr="4AF9E47B" w:rsidR="00DF1D3D">
        <w:rPr>
          <w:rStyle w:val="Strong"/>
        </w:rPr>
        <w:t>)</w:t>
      </w:r>
      <w:r w:rsidRPr="4AF9E47B" w:rsidR="00137252">
        <w:rPr>
          <w:rStyle w:val="Strong"/>
        </w:rPr>
        <w:t xml:space="preserve"> tool</w:t>
      </w:r>
      <w:r w:rsidRPr="4AF9E47B">
        <w:rPr>
          <w:rStyle w:val="Strong"/>
        </w:rPr>
        <w:t xml:space="preserve"> </w:t>
      </w:r>
      <w:r w:rsidRPr="4AF9E47B">
        <w:rPr>
          <w:rStyle w:val="Strong"/>
        </w:rPr>
        <w:fldChar w:fldCharType="begin"/>
      </w:r>
      <w:r w:rsidR="005E0647">
        <w:rPr>
          <w:rStyle w:val="Strong"/>
        </w:rPr>
        <w:instrText xml:space="preserve"> ADDIN ZOTERO_ITEM CSL_CITATION {"citationID":"rGU36oYb","properties":{"formattedCitation":"(11)","plainCitation":"(11)","noteIndex":0},"citationItems":[{"id":1195,"uris":["http://zotero.org/users/5812412/items/7QERYYUY"],"itemData":{"id":1195,"type":"article-journal","container-title":"Annals of Internal Medicine","DOI":"10.7326/0003-4819-158-4-201302190-00009","ISSN":"0003-4819","issue":"4","journalAbbreviation":"Ann Intern Med","language":"en","page":"280","source":"DOI.org (Crossref)","title":"Assessing Bias in Studies of Prognostic Factors","volume":"158","author":[{"family":"Hayden","given":"Jill A."},{"family":"Windt","given":"Danielle A.","non-dropping-particle":"van der"},{"family":"Cartwright","given":"Jennifer L."},{"family":"Côté","given":"Pierre"},{"family":"Bombardier","given":"Claire"}],"issued":{"date-parts":[["2013",2,19]]}}}],"schema":"https://github.com/citation-style-language/schema/raw/master/csl-citation.json"} </w:instrText>
      </w:r>
      <w:r w:rsidRPr="4AF9E47B">
        <w:rPr>
          <w:rStyle w:val="Strong"/>
        </w:rPr>
        <w:fldChar w:fldCharType="separate"/>
      </w:r>
      <w:r w:rsidR="005E0647">
        <w:rPr>
          <w:rStyle w:val="Strong"/>
        </w:rPr>
        <w:t>(11)</w:t>
      </w:r>
      <w:r w:rsidRPr="4AF9E47B">
        <w:rPr>
          <w:rStyle w:val="Strong"/>
        </w:rPr>
        <w:fldChar w:fldCharType="end"/>
      </w:r>
      <w:r w:rsidRPr="4AF9E47B" w:rsidR="00137252">
        <w:rPr>
          <w:rStyle w:val="Strong"/>
        </w:rPr>
        <w:t xml:space="preserve"> </w:t>
      </w:r>
      <w:r w:rsidRPr="4AF9E47B">
        <w:rPr>
          <w:rStyle w:val="Strong"/>
        </w:rPr>
        <w:t>will be adapted to assess potential bias related to individual studies.</w:t>
      </w:r>
      <w:r w:rsidRPr="4AF9E47B" w:rsidR="00DF1D3D">
        <w:rPr>
          <w:rStyle w:val="Strong"/>
        </w:rPr>
        <w:t xml:space="preserve"> </w:t>
      </w:r>
      <w:r w:rsidRPr="4AF9E47B" w:rsidR="00DF1D3D">
        <w:rPr>
          <w:color w:val="000000" w:themeColor="text1"/>
        </w:rPr>
        <w:t xml:space="preserve">A summary of included studies compared to eligible, but unavailable, studies will be presented </w:t>
      </w:r>
      <w:r w:rsidRPr="0012488C" w:rsidR="00DF1D3D">
        <w:rPr>
          <w:rFonts w:cstheme="minorHAnsi"/>
          <w:color w:val="000000" w:themeColor="text1"/>
        </w:rPr>
        <w:t>to highlight potential bias, including items and issues to consider as follows.</w:t>
      </w:r>
    </w:p>
    <w:p w:rsidRPr="0012488C" w:rsidR="0012488C" w:rsidP="0012488C" w:rsidRDefault="0012488C" w14:paraId="69FCC19A" w14:textId="77777777">
      <w:pPr>
        <w:pStyle w:val="paragraph"/>
        <w:spacing w:before="0" w:beforeAutospacing="0" w:after="0" w:afterAutospacing="0"/>
        <w:jc w:val="both"/>
        <w:textAlignment w:val="baseline"/>
        <w:rPr>
          <w:rFonts w:asciiTheme="minorHAnsi" w:hAnsiTheme="minorHAnsi" w:cstheme="minorHAnsi"/>
          <w:sz w:val="22"/>
          <w:szCs w:val="22"/>
        </w:rPr>
      </w:pPr>
      <w:r w:rsidRPr="0012488C">
        <w:rPr>
          <w:rStyle w:val="normaltextrun"/>
          <w:rFonts w:asciiTheme="minorHAnsi" w:hAnsiTheme="minorHAnsi" w:cstheme="minorHAnsi"/>
          <w:sz w:val="22"/>
          <w:szCs w:val="22"/>
          <w:u w:val="single"/>
        </w:rPr>
        <w:t>Domain 1: The study sample represents the population of interest on key characteristics, sufficient to limit potential bias of the observed relationship between the predictive factor and outcome.</w:t>
      </w:r>
      <w:r w:rsidRPr="0012488C">
        <w:rPr>
          <w:rStyle w:val="eop"/>
          <w:rFonts w:asciiTheme="minorHAnsi" w:hAnsiTheme="minorHAnsi" w:cstheme="minorHAnsi"/>
          <w:sz w:val="22"/>
          <w:szCs w:val="22"/>
        </w:rPr>
        <w:t> </w:t>
      </w:r>
    </w:p>
    <w:p w:rsidRPr="0012488C" w:rsidR="0012488C" w:rsidP="0012488C" w:rsidRDefault="0012488C" w14:paraId="209C1221"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sz w:val="22"/>
          <w:szCs w:val="22"/>
        </w:rPr>
        <w:t>The source population or population of interest is adequately described.</w:t>
      </w:r>
      <w:r w:rsidRPr="0012488C">
        <w:rPr>
          <w:rStyle w:val="eop"/>
          <w:rFonts w:asciiTheme="minorHAnsi" w:hAnsiTheme="minorHAnsi" w:cstheme="minorHAnsi"/>
          <w:sz w:val="22"/>
          <w:szCs w:val="22"/>
        </w:rPr>
        <w:t> </w:t>
      </w:r>
    </w:p>
    <w:p w:rsidRPr="0012488C" w:rsidR="0012488C" w:rsidP="0012488C" w:rsidRDefault="0012488C" w14:paraId="1E70517C"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The baseline study sample (i.e., individuals entering the study) is adequately described.</w:t>
      </w:r>
      <w:r w:rsidRPr="0012488C">
        <w:rPr>
          <w:rStyle w:val="eop"/>
          <w:rFonts w:asciiTheme="minorHAnsi" w:hAnsiTheme="minorHAnsi" w:cstheme="minorHAnsi"/>
          <w:color w:val="000000"/>
          <w:sz w:val="22"/>
          <w:szCs w:val="22"/>
        </w:rPr>
        <w:t> </w:t>
      </w:r>
    </w:p>
    <w:p w:rsidRPr="0012488C" w:rsidR="0012488C" w:rsidP="0012488C" w:rsidRDefault="0012488C" w14:paraId="55F2BF30"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The sampling frame and recruitment are adequately described, including methods to identify the sample sufficient to limit potential bias.</w:t>
      </w:r>
      <w:r w:rsidRPr="0012488C">
        <w:rPr>
          <w:rStyle w:val="eop"/>
          <w:rFonts w:asciiTheme="minorHAnsi" w:hAnsiTheme="minorHAnsi" w:cstheme="minorHAnsi"/>
          <w:color w:val="000000"/>
          <w:sz w:val="22"/>
          <w:szCs w:val="22"/>
        </w:rPr>
        <w:t> </w:t>
      </w:r>
    </w:p>
    <w:p w:rsidRPr="0012488C" w:rsidR="0012488C" w:rsidP="0012488C" w:rsidRDefault="0012488C" w14:paraId="5C9D76AB"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Period of recruitment is adequately described.</w:t>
      </w:r>
      <w:r w:rsidRPr="0012488C">
        <w:rPr>
          <w:rStyle w:val="eop"/>
          <w:rFonts w:asciiTheme="minorHAnsi" w:hAnsiTheme="minorHAnsi" w:cstheme="minorHAnsi"/>
          <w:color w:val="000000"/>
          <w:sz w:val="22"/>
          <w:szCs w:val="22"/>
        </w:rPr>
        <w:t> </w:t>
      </w:r>
    </w:p>
    <w:p w:rsidRPr="0012488C" w:rsidR="0012488C" w:rsidP="0012488C" w:rsidRDefault="0012488C" w14:paraId="1FDE5CFC"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Place of recruitment (setting, level of endemicity, geographic location) are adequately described.</w:t>
      </w:r>
      <w:r w:rsidRPr="0012488C">
        <w:rPr>
          <w:rStyle w:val="eop"/>
          <w:rFonts w:asciiTheme="minorHAnsi" w:hAnsiTheme="minorHAnsi" w:cstheme="minorHAnsi"/>
          <w:color w:val="000000"/>
          <w:sz w:val="22"/>
          <w:szCs w:val="22"/>
        </w:rPr>
        <w:t> </w:t>
      </w:r>
    </w:p>
    <w:p w:rsidRPr="0012488C" w:rsidR="0012488C" w:rsidP="0012488C" w:rsidRDefault="0012488C" w14:paraId="30A1E160" w14:textId="77777777">
      <w:pPr>
        <w:pStyle w:val="paragraph"/>
        <w:numPr>
          <w:ilvl w:val="0"/>
          <w:numId w:val="17"/>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Inclusion and exclusion criteria are adequately described).</w:t>
      </w:r>
      <w:r w:rsidRPr="0012488C">
        <w:rPr>
          <w:rStyle w:val="eop"/>
          <w:rFonts w:asciiTheme="minorHAnsi" w:hAnsiTheme="minorHAnsi" w:cstheme="minorHAnsi"/>
          <w:color w:val="000000"/>
          <w:sz w:val="22"/>
          <w:szCs w:val="22"/>
        </w:rPr>
        <w:t> </w:t>
      </w:r>
    </w:p>
    <w:p w:rsidRPr="0012488C" w:rsidR="0012488C" w:rsidP="0012488C" w:rsidRDefault="0012488C" w14:paraId="4D4FF1B2" w14:textId="77777777">
      <w:pPr>
        <w:pStyle w:val="paragraph"/>
        <w:spacing w:before="0" w:beforeAutospacing="0" w:after="0" w:afterAutospacing="0"/>
        <w:ind w:left="360"/>
        <w:jc w:val="both"/>
        <w:textAlignment w:val="baseline"/>
        <w:rPr>
          <w:rFonts w:asciiTheme="minorHAnsi" w:hAnsiTheme="minorHAnsi" w:cstheme="minorHAnsi"/>
          <w:sz w:val="22"/>
          <w:szCs w:val="22"/>
        </w:rPr>
      </w:pPr>
      <w:r w:rsidRPr="0012488C">
        <w:rPr>
          <w:rStyle w:val="eop"/>
          <w:rFonts w:asciiTheme="minorHAnsi" w:hAnsiTheme="minorHAnsi" w:cstheme="minorHAnsi"/>
          <w:sz w:val="22"/>
          <w:szCs w:val="22"/>
        </w:rPr>
        <w:t> </w:t>
      </w:r>
    </w:p>
    <w:p w:rsidRPr="0012488C" w:rsidR="0012488C" w:rsidP="0012488C" w:rsidRDefault="0012488C" w14:paraId="0EF820FE" w14:textId="77777777">
      <w:pPr>
        <w:pStyle w:val="paragraph"/>
        <w:spacing w:before="0" w:beforeAutospacing="0" w:after="0" w:afterAutospacing="0"/>
        <w:jc w:val="both"/>
        <w:textAlignment w:val="baseline"/>
        <w:rPr>
          <w:rFonts w:asciiTheme="minorHAnsi" w:hAnsiTheme="minorHAnsi" w:cstheme="minorHAnsi"/>
          <w:sz w:val="22"/>
          <w:szCs w:val="22"/>
        </w:rPr>
      </w:pPr>
      <w:r w:rsidRPr="0012488C">
        <w:rPr>
          <w:rStyle w:val="normaltextrun"/>
          <w:rFonts w:asciiTheme="minorHAnsi" w:hAnsiTheme="minorHAnsi" w:cstheme="minorHAnsi"/>
          <w:sz w:val="22"/>
          <w:szCs w:val="22"/>
          <w:u w:val="single"/>
        </w:rPr>
        <w:t>Domain 2: Loss to follow up (from baseline sample to study population analysed) is not associated with certain characteristics (i.e., the study data adequately represent the sample) sufficient to limit potential bias to the observed relationship between predictive factor and outcome.</w:t>
      </w:r>
      <w:r w:rsidRPr="0012488C">
        <w:rPr>
          <w:rStyle w:val="eop"/>
          <w:rFonts w:asciiTheme="minorHAnsi" w:hAnsiTheme="minorHAnsi" w:cstheme="minorHAnsi"/>
          <w:sz w:val="22"/>
          <w:szCs w:val="22"/>
        </w:rPr>
        <w:t> </w:t>
      </w:r>
    </w:p>
    <w:p w:rsidRPr="0012488C" w:rsidR="0012488C" w:rsidP="0012488C" w:rsidRDefault="0012488C" w14:paraId="60167641" w14:textId="77777777">
      <w:pPr>
        <w:pStyle w:val="paragraph"/>
        <w:numPr>
          <w:ilvl w:val="0"/>
          <w:numId w:val="18"/>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Response rate (i.e., proportion of study sample completing the study and providing outcome data) is adequate.</w:t>
      </w:r>
      <w:r w:rsidRPr="0012488C">
        <w:rPr>
          <w:rStyle w:val="eop"/>
          <w:rFonts w:asciiTheme="minorHAnsi" w:hAnsiTheme="minorHAnsi" w:cstheme="minorHAnsi"/>
          <w:color w:val="000000"/>
          <w:sz w:val="22"/>
          <w:szCs w:val="22"/>
        </w:rPr>
        <w:t> </w:t>
      </w:r>
    </w:p>
    <w:p w:rsidRPr="0012488C" w:rsidR="0012488C" w:rsidP="0012488C" w:rsidRDefault="0012488C" w14:paraId="58C38E7A" w14:textId="77777777">
      <w:pPr>
        <w:pStyle w:val="paragraph"/>
        <w:numPr>
          <w:ilvl w:val="0"/>
          <w:numId w:val="18"/>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Attempts to collect information on participants who dropped out of the study are described.</w:t>
      </w:r>
      <w:r w:rsidRPr="0012488C">
        <w:rPr>
          <w:rStyle w:val="eop"/>
          <w:rFonts w:asciiTheme="minorHAnsi" w:hAnsiTheme="minorHAnsi" w:cstheme="minorHAnsi"/>
          <w:color w:val="000000"/>
          <w:sz w:val="22"/>
          <w:szCs w:val="22"/>
        </w:rPr>
        <w:t> </w:t>
      </w:r>
    </w:p>
    <w:p w:rsidRPr="0012488C" w:rsidR="0012488C" w:rsidP="0012488C" w:rsidRDefault="0012488C" w14:paraId="613DC99E" w14:textId="77777777">
      <w:pPr>
        <w:pStyle w:val="paragraph"/>
        <w:numPr>
          <w:ilvl w:val="0"/>
          <w:numId w:val="18"/>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Reasons for loss to follow up are provided.</w:t>
      </w:r>
      <w:r w:rsidRPr="0012488C">
        <w:rPr>
          <w:rStyle w:val="eop"/>
          <w:rFonts w:asciiTheme="minorHAnsi" w:hAnsiTheme="minorHAnsi" w:cstheme="minorHAnsi"/>
          <w:color w:val="000000"/>
          <w:sz w:val="22"/>
          <w:szCs w:val="22"/>
        </w:rPr>
        <w:t> </w:t>
      </w:r>
    </w:p>
    <w:p w:rsidRPr="0012488C" w:rsidR="0012488C" w:rsidP="0012488C" w:rsidRDefault="0012488C" w14:paraId="1A6C9070" w14:textId="77777777">
      <w:pPr>
        <w:pStyle w:val="paragraph"/>
        <w:numPr>
          <w:ilvl w:val="0"/>
          <w:numId w:val="18"/>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Participants lost to follow up are adequately described.</w:t>
      </w:r>
      <w:r w:rsidRPr="0012488C">
        <w:rPr>
          <w:rStyle w:val="eop"/>
          <w:rFonts w:asciiTheme="minorHAnsi" w:hAnsiTheme="minorHAnsi" w:cstheme="minorHAnsi"/>
          <w:color w:val="000000"/>
          <w:sz w:val="22"/>
          <w:szCs w:val="22"/>
        </w:rPr>
        <w:t> </w:t>
      </w:r>
    </w:p>
    <w:p w:rsidRPr="0012488C" w:rsidR="0012488C" w:rsidP="0012488C" w:rsidRDefault="0012488C" w14:paraId="51EDCA97" w14:textId="77777777">
      <w:pPr>
        <w:pStyle w:val="paragraph"/>
        <w:numPr>
          <w:ilvl w:val="0"/>
          <w:numId w:val="18"/>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There are no important differences between participants who completed the study and those who did not.</w:t>
      </w:r>
      <w:r w:rsidRPr="0012488C">
        <w:rPr>
          <w:rStyle w:val="normaltextrun"/>
          <w:rFonts w:asciiTheme="minorHAnsi" w:hAnsiTheme="minorHAnsi" w:cstheme="minorHAnsi"/>
          <w:sz w:val="22"/>
          <w:szCs w:val="22"/>
        </w:rPr>
        <w:t> </w:t>
      </w:r>
      <w:r w:rsidRPr="0012488C">
        <w:rPr>
          <w:rStyle w:val="eop"/>
          <w:rFonts w:asciiTheme="minorHAnsi" w:hAnsiTheme="minorHAnsi" w:cstheme="minorHAnsi"/>
          <w:sz w:val="22"/>
          <w:szCs w:val="22"/>
        </w:rPr>
        <w:t> </w:t>
      </w:r>
    </w:p>
    <w:p w:rsidRPr="0012488C" w:rsidR="0012488C" w:rsidP="0012488C" w:rsidRDefault="0012488C" w14:paraId="2A81DBA6" w14:textId="77777777">
      <w:pPr>
        <w:pStyle w:val="paragraph"/>
        <w:spacing w:before="0" w:beforeAutospacing="0" w:after="0" w:afterAutospacing="0"/>
        <w:ind w:left="360"/>
        <w:jc w:val="both"/>
        <w:textAlignment w:val="baseline"/>
        <w:rPr>
          <w:rFonts w:asciiTheme="minorHAnsi" w:hAnsiTheme="minorHAnsi" w:cstheme="minorHAnsi"/>
          <w:sz w:val="22"/>
          <w:szCs w:val="22"/>
        </w:rPr>
      </w:pPr>
      <w:r w:rsidRPr="0012488C">
        <w:rPr>
          <w:rStyle w:val="eop"/>
          <w:rFonts w:asciiTheme="minorHAnsi" w:hAnsiTheme="minorHAnsi" w:cstheme="minorHAnsi"/>
          <w:sz w:val="22"/>
          <w:szCs w:val="22"/>
        </w:rPr>
        <w:t> </w:t>
      </w:r>
    </w:p>
    <w:p w:rsidRPr="0012488C" w:rsidR="0012488C" w:rsidP="0012488C" w:rsidRDefault="0012488C" w14:paraId="52D42C25" w14:textId="77777777">
      <w:pPr>
        <w:pStyle w:val="paragraph"/>
        <w:spacing w:before="0" w:beforeAutospacing="0" w:after="0" w:afterAutospacing="0"/>
        <w:jc w:val="both"/>
        <w:textAlignment w:val="baseline"/>
        <w:rPr>
          <w:rFonts w:asciiTheme="minorHAnsi" w:hAnsiTheme="minorHAnsi" w:cstheme="minorHAnsi"/>
          <w:sz w:val="22"/>
          <w:szCs w:val="22"/>
        </w:rPr>
      </w:pPr>
      <w:r w:rsidRPr="0012488C">
        <w:rPr>
          <w:rStyle w:val="normaltextrun"/>
          <w:rFonts w:asciiTheme="minorHAnsi" w:hAnsiTheme="minorHAnsi" w:cstheme="minorHAnsi"/>
          <w:sz w:val="22"/>
          <w:szCs w:val="22"/>
          <w:u w:val="single"/>
        </w:rPr>
        <w:t>Domain 3: Predictive factor and drug intervention are adequately measured in study participants to sufficiently limit potential bias.</w:t>
      </w:r>
      <w:r w:rsidRPr="0012488C">
        <w:rPr>
          <w:rStyle w:val="eop"/>
          <w:rFonts w:asciiTheme="minorHAnsi" w:hAnsiTheme="minorHAnsi" w:cstheme="minorHAnsi"/>
          <w:sz w:val="22"/>
          <w:szCs w:val="22"/>
        </w:rPr>
        <w:t> </w:t>
      </w:r>
    </w:p>
    <w:p w:rsidRPr="0012488C" w:rsidR="0012488C" w:rsidP="0012488C" w:rsidRDefault="0012488C" w14:paraId="30AE742A" w14:textId="77777777">
      <w:pPr>
        <w:pStyle w:val="paragraph"/>
        <w:numPr>
          <w:ilvl w:val="0"/>
          <w:numId w:val="19"/>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 clear definition or description of the primaquine regimen and measured methaemoglobin is provided (e.g., including dose, level, duration of exposure, and clear specification of the method of measurement).</w:t>
      </w:r>
      <w:r w:rsidRPr="0012488C">
        <w:rPr>
          <w:rStyle w:val="eop"/>
          <w:rFonts w:asciiTheme="minorHAnsi" w:hAnsiTheme="minorHAnsi" w:cstheme="minorHAnsi"/>
          <w:color w:val="000000"/>
          <w:sz w:val="22"/>
          <w:szCs w:val="22"/>
        </w:rPr>
        <w:t> </w:t>
      </w:r>
    </w:p>
    <w:p w:rsidRPr="0012488C" w:rsidR="0012488C" w:rsidP="0012488C" w:rsidRDefault="0012488C" w14:paraId="2FAB383D" w14:textId="77777777">
      <w:pPr>
        <w:pStyle w:val="paragraph"/>
        <w:numPr>
          <w:ilvl w:val="0"/>
          <w:numId w:val="19"/>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Adequately accurate and reliable measurement of primaquine doses and methaemoglobin concentrations to limit misclassification bias.</w:t>
      </w:r>
      <w:r w:rsidRPr="0012488C">
        <w:rPr>
          <w:rStyle w:val="eop"/>
          <w:rFonts w:asciiTheme="minorHAnsi" w:hAnsiTheme="minorHAnsi" w:cstheme="minorHAnsi"/>
          <w:color w:val="000000"/>
          <w:sz w:val="22"/>
          <w:szCs w:val="22"/>
        </w:rPr>
        <w:t> </w:t>
      </w:r>
    </w:p>
    <w:p w:rsidRPr="0012488C" w:rsidR="0012488C" w:rsidP="0012488C" w:rsidRDefault="0012488C" w14:paraId="569952DA" w14:textId="77777777">
      <w:pPr>
        <w:pStyle w:val="paragraph"/>
        <w:numPr>
          <w:ilvl w:val="0"/>
          <w:numId w:val="20"/>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Continuous variables are reported, or clinically relevant cut points (i.e., not data-dependent) are used.</w:t>
      </w:r>
      <w:r w:rsidRPr="0012488C">
        <w:rPr>
          <w:rStyle w:val="eop"/>
          <w:rFonts w:asciiTheme="minorHAnsi" w:hAnsiTheme="minorHAnsi" w:cstheme="minorHAnsi"/>
          <w:color w:val="000000"/>
          <w:sz w:val="22"/>
          <w:szCs w:val="22"/>
        </w:rPr>
        <w:t> </w:t>
      </w:r>
    </w:p>
    <w:p w:rsidRPr="0012488C" w:rsidR="0012488C" w:rsidP="0012488C" w:rsidRDefault="0012488C" w14:paraId="530C551A" w14:textId="77777777">
      <w:pPr>
        <w:pStyle w:val="paragraph"/>
        <w:numPr>
          <w:ilvl w:val="0"/>
          <w:numId w:val="20"/>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Method and setting of methaemoglobin measurement are the same for all study participants.</w:t>
      </w:r>
      <w:r w:rsidRPr="0012488C">
        <w:rPr>
          <w:rStyle w:val="eop"/>
          <w:rFonts w:asciiTheme="minorHAnsi" w:hAnsiTheme="minorHAnsi" w:cstheme="minorHAnsi"/>
          <w:color w:val="000000"/>
          <w:sz w:val="22"/>
          <w:szCs w:val="22"/>
        </w:rPr>
        <w:t> </w:t>
      </w:r>
    </w:p>
    <w:p w:rsidRPr="0012488C" w:rsidR="0012488C" w:rsidP="0012488C" w:rsidRDefault="0012488C" w14:paraId="1B29B378" w14:textId="77777777">
      <w:pPr>
        <w:pStyle w:val="paragraph"/>
        <w:numPr>
          <w:ilvl w:val="0"/>
          <w:numId w:val="20"/>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Adequate proportion of the study sample has complete methaemoglobin data.</w:t>
      </w:r>
      <w:r w:rsidRPr="0012488C">
        <w:rPr>
          <w:rStyle w:val="eop"/>
          <w:rFonts w:asciiTheme="minorHAnsi" w:hAnsiTheme="minorHAnsi" w:cstheme="minorHAnsi"/>
          <w:color w:val="000000"/>
          <w:sz w:val="22"/>
          <w:szCs w:val="22"/>
        </w:rPr>
        <w:t> </w:t>
      </w:r>
    </w:p>
    <w:p w:rsidRPr="0012488C" w:rsidR="0012488C" w:rsidP="0012488C" w:rsidRDefault="0012488C" w14:paraId="29D6C116" w14:textId="77777777">
      <w:pPr>
        <w:pStyle w:val="paragraph"/>
        <w:numPr>
          <w:ilvl w:val="0"/>
          <w:numId w:val="20"/>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Adequate adherence or supervision of primaquine administration.</w:t>
      </w:r>
      <w:r w:rsidRPr="0012488C">
        <w:rPr>
          <w:rStyle w:val="normaltextrun"/>
          <w:rFonts w:asciiTheme="minorHAnsi" w:hAnsiTheme="minorHAnsi" w:cstheme="minorHAnsi"/>
          <w:sz w:val="22"/>
          <w:szCs w:val="22"/>
        </w:rPr>
        <w:t> </w:t>
      </w:r>
      <w:r w:rsidRPr="0012488C">
        <w:rPr>
          <w:rStyle w:val="eop"/>
          <w:rFonts w:asciiTheme="minorHAnsi" w:hAnsiTheme="minorHAnsi" w:cstheme="minorHAnsi"/>
          <w:sz w:val="22"/>
          <w:szCs w:val="22"/>
        </w:rPr>
        <w:t> </w:t>
      </w:r>
    </w:p>
    <w:p w:rsidRPr="0012488C" w:rsidR="0012488C" w:rsidP="0012488C" w:rsidRDefault="0012488C" w14:paraId="2EBA2F34" w14:textId="77777777">
      <w:pPr>
        <w:pStyle w:val="paragraph"/>
        <w:spacing w:before="0" w:beforeAutospacing="0" w:after="0" w:afterAutospacing="0"/>
        <w:ind w:left="360"/>
        <w:jc w:val="both"/>
        <w:textAlignment w:val="baseline"/>
        <w:rPr>
          <w:rFonts w:asciiTheme="minorHAnsi" w:hAnsiTheme="minorHAnsi" w:cstheme="minorHAnsi"/>
          <w:sz w:val="22"/>
          <w:szCs w:val="22"/>
        </w:rPr>
      </w:pPr>
      <w:r w:rsidRPr="0012488C">
        <w:rPr>
          <w:rStyle w:val="eop"/>
          <w:rFonts w:asciiTheme="minorHAnsi" w:hAnsiTheme="minorHAnsi" w:cstheme="minorHAnsi"/>
          <w:sz w:val="22"/>
          <w:szCs w:val="22"/>
        </w:rPr>
        <w:t> </w:t>
      </w:r>
    </w:p>
    <w:p w:rsidRPr="0012488C" w:rsidR="0012488C" w:rsidP="0012488C" w:rsidRDefault="0012488C" w14:paraId="37B198EF" w14:textId="77777777">
      <w:pPr>
        <w:pStyle w:val="paragraph"/>
        <w:spacing w:before="0" w:beforeAutospacing="0" w:after="0" w:afterAutospacing="0"/>
        <w:jc w:val="both"/>
        <w:textAlignment w:val="baseline"/>
        <w:rPr>
          <w:rFonts w:asciiTheme="minorHAnsi" w:hAnsiTheme="minorHAnsi" w:cstheme="minorHAnsi"/>
          <w:sz w:val="22"/>
          <w:szCs w:val="22"/>
        </w:rPr>
      </w:pPr>
      <w:r w:rsidRPr="0012488C">
        <w:rPr>
          <w:rStyle w:val="normaltextrun"/>
          <w:rFonts w:asciiTheme="minorHAnsi" w:hAnsiTheme="minorHAnsi" w:cstheme="minorHAnsi"/>
          <w:sz w:val="22"/>
          <w:szCs w:val="22"/>
          <w:u w:val="single"/>
        </w:rPr>
        <w:t>Domain 4: Outcome of interest is adequately measured in study participants to sufficiently limit potential bias.</w:t>
      </w:r>
      <w:r w:rsidRPr="0012488C">
        <w:rPr>
          <w:rStyle w:val="eop"/>
          <w:rFonts w:asciiTheme="minorHAnsi" w:hAnsiTheme="minorHAnsi" w:cstheme="minorHAnsi"/>
          <w:sz w:val="22"/>
          <w:szCs w:val="22"/>
        </w:rPr>
        <w:t> </w:t>
      </w:r>
    </w:p>
    <w:p w:rsidRPr="0012488C" w:rsidR="0012488C" w:rsidP="0012488C" w:rsidRDefault="0012488C" w14:paraId="3344E7C2" w14:textId="77777777">
      <w:pPr>
        <w:pStyle w:val="paragraph"/>
        <w:numPr>
          <w:ilvl w:val="0"/>
          <w:numId w:val="21"/>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A clear definition of the outcome is provided, including duration of follow up.</w:t>
      </w:r>
      <w:r w:rsidRPr="0012488C">
        <w:rPr>
          <w:rStyle w:val="eop"/>
          <w:rFonts w:asciiTheme="minorHAnsi" w:hAnsiTheme="minorHAnsi" w:cstheme="minorHAnsi"/>
          <w:color w:val="000000"/>
          <w:sz w:val="22"/>
          <w:szCs w:val="22"/>
        </w:rPr>
        <w:t> </w:t>
      </w:r>
    </w:p>
    <w:p w:rsidRPr="0012488C" w:rsidR="0012488C" w:rsidP="0012488C" w:rsidRDefault="0012488C" w14:paraId="757BDCA2" w14:textId="77777777">
      <w:pPr>
        <w:pStyle w:val="paragraph"/>
        <w:numPr>
          <w:ilvl w:val="0"/>
          <w:numId w:val="21"/>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Method of outcome measurement used is adequately accurate and reliable to limit misclassification bias.</w:t>
      </w:r>
      <w:r w:rsidRPr="0012488C">
        <w:rPr>
          <w:rStyle w:val="eop"/>
          <w:rFonts w:asciiTheme="minorHAnsi" w:hAnsiTheme="minorHAnsi" w:cstheme="minorHAnsi"/>
          <w:color w:val="000000"/>
          <w:sz w:val="22"/>
          <w:szCs w:val="22"/>
        </w:rPr>
        <w:t> </w:t>
      </w:r>
    </w:p>
    <w:p w:rsidRPr="0012488C" w:rsidR="0012488C" w:rsidP="0012488C" w:rsidRDefault="0012488C" w14:paraId="2BCC26EB" w14:textId="77777777">
      <w:pPr>
        <w:pStyle w:val="paragraph"/>
        <w:numPr>
          <w:ilvl w:val="0"/>
          <w:numId w:val="21"/>
        </w:numPr>
        <w:spacing w:before="0" w:beforeAutospacing="0" w:after="0" w:afterAutospacing="0"/>
        <w:ind w:hanging="294"/>
        <w:jc w:val="both"/>
        <w:textAlignment w:val="baseline"/>
        <w:rPr>
          <w:rFonts w:asciiTheme="minorHAnsi" w:hAnsiTheme="minorHAnsi" w:cstheme="minorHAnsi"/>
          <w:sz w:val="22"/>
          <w:szCs w:val="22"/>
        </w:rPr>
      </w:pPr>
      <w:r w:rsidRPr="0012488C">
        <w:rPr>
          <w:rStyle w:val="normaltextrun"/>
          <w:rFonts w:asciiTheme="minorHAnsi" w:hAnsiTheme="minorHAnsi" w:cstheme="minorHAnsi"/>
          <w:color w:val="000000"/>
          <w:sz w:val="22"/>
          <w:szCs w:val="22"/>
          <w:shd w:val="clear" w:color="auto" w:fill="FFFFFF"/>
        </w:rPr>
        <w:t>Method and setting of outcome measurement are the same for all study participants.</w:t>
      </w:r>
    </w:p>
    <w:p w:rsidR="0012488C" w:rsidP="0012488C" w:rsidRDefault="0012488C" w14:paraId="1618B32E" w14:textId="77777777">
      <w:pPr>
        <w:jc w:val="both"/>
        <w:rPr>
          <w:color w:val="000000" w:themeColor="text1"/>
        </w:rPr>
      </w:pPr>
    </w:p>
    <w:p w:rsidRPr="00DF1D3D" w:rsidR="00E451A7" w:rsidP="0012488C" w:rsidRDefault="00DF1D3D" w14:paraId="4E489DE1" w14:textId="6317760D">
      <w:pPr>
        <w:jc w:val="both"/>
        <w:rPr>
          <w:color w:val="000000" w:themeColor="text1"/>
        </w:rPr>
      </w:pPr>
      <w:r w:rsidRPr="4AF9E47B">
        <w:rPr>
          <w:color w:val="000000" w:themeColor="text1"/>
        </w:rPr>
        <w:t>Each domain is then rated as high, moderate, or low risk of bias considering the prompting items and considerations.</w:t>
      </w:r>
    </w:p>
    <w:p w:rsidRPr="003F41FF" w:rsidR="00457F3C" w:rsidP="4AF9E47B" w:rsidRDefault="002B0AC2" w14:paraId="6EC34687" w14:textId="15DB4DE3">
      <w:pPr>
        <w:pStyle w:val="Heading1"/>
        <w:rPr>
          <w:lang w:val="en-GB"/>
        </w:rPr>
      </w:pPr>
      <w:bookmarkStart w:name="_Toc457660159" w:id="30"/>
      <w:bookmarkStart w:name="_Toc84017839" w:id="31"/>
      <w:r w:rsidRPr="4AF9E47B">
        <w:rPr>
          <w:lang w:val="en-GB"/>
        </w:rPr>
        <w:t>3</w:t>
      </w:r>
      <w:r w:rsidRPr="4AF9E47B" w:rsidR="00457F3C">
        <w:rPr>
          <w:lang w:val="en-GB"/>
        </w:rPr>
        <w:t>. PRISMA Statement</w:t>
      </w:r>
      <w:bookmarkEnd w:id="30"/>
      <w:bookmarkEnd w:id="31"/>
    </w:p>
    <w:p w:rsidRPr="003F41FF" w:rsidR="00862E55" w:rsidP="4AF9E47B" w:rsidRDefault="00457F3C" w14:paraId="54FC24D8" w14:textId="01477AF5">
      <w:r w:rsidRPr="4AF9E47B">
        <w:rPr>
          <w:color w:val="000000" w:themeColor="text1"/>
        </w:rPr>
        <w:t>The analysis will adhere to the PRISMA</w:t>
      </w:r>
      <w:r w:rsidRPr="4AF9E47B" w:rsidR="00E451A7">
        <w:rPr>
          <w:color w:val="000000" w:themeColor="text1"/>
        </w:rPr>
        <w:t>-IPD</w:t>
      </w:r>
      <w:r w:rsidRPr="4AF9E47B">
        <w:rPr>
          <w:color w:val="000000" w:themeColor="text1"/>
        </w:rPr>
        <w:t xml:space="preserve"> guidelines for reporting systematic reviews and meta-analyses of individual patient data</w:t>
      </w:r>
      <w:r w:rsidRPr="4AF9E47B" w:rsidR="00C00989">
        <w:rPr>
          <w:color w:val="000000" w:themeColor="text1"/>
        </w:rPr>
        <w:t xml:space="preserve"> </w:t>
      </w:r>
      <w:r w:rsidRPr="4AF9E47B">
        <w:rPr>
          <w:color w:val="000000" w:themeColor="text1"/>
          <w:lang w:val="en-AU"/>
        </w:rPr>
        <w:fldChar w:fldCharType="begin"/>
      </w:r>
      <w:r w:rsidR="005E0647">
        <w:rPr>
          <w:color w:val="000000" w:themeColor="text1"/>
          <w:lang w:val="en-AU"/>
        </w:rPr>
        <w:instrText xml:space="preserve"> ADDIN ZOTERO_ITEM CSL_CITATION {"citationID":"TAA8Lr4T","properties":{"formattedCitation":"(12)","plainCitation":"(12)","noteIndex":0},"citationItems":[{"id":1196,"uris":["http://zotero.org/users/5812412/items/96IB7PFD"],"itemData":{"id":1196,"type":"article-journal","container-title":"JAMA","DOI":"10.1001/jama.2015.3656","ISSN":"0098-7484","issue":"16","journalAbbreviation":"JAMA","language":"en","page":"1657","source":"DOI.org (Crossref)","title":"Preferred Reporting Items for a Systematic Review and Meta-analysis of Individual Participant Data: The PRISMA-IPD Statement","title-short":"Preferred Reporting Items for a Systematic Review and Meta-analysis of Individual Participant Data","volume":"313","author":[{"family":"Stewart","given":"Lesley A."},{"family":"Clarke","given":"Mike"},{"family":"Rovers","given":"Maroeska"},{"family":"Riley","given":"Richard D."},{"family":"Simmonds","given":"Mark"},{"family":"Stewart","given":"Gavin"},{"family":"Tierney","given":"Jayne F."}],"issued":{"date-parts":[["2015",4,28]]}}}],"schema":"https://github.com/citation-style-language/schema/raw/master/csl-citation.json"} </w:instrText>
      </w:r>
      <w:r w:rsidRPr="4AF9E47B">
        <w:rPr>
          <w:color w:val="000000" w:themeColor="text1"/>
          <w:lang w:val="en-AU"/>
        </w:rPr>
        <w:fldChar w:fldCharType="separate"/>
      </w:r>
      <w:r w:rsidR="005E0647">
        <w:rPr>
          <w:color w:val="000000" w:themeColor="text1"/>
        </w:rPr>
        <w:t>(12)</w:t>
      </w:r>
      <w:r w:rsidRPr="4AF9E47B">
        <w:rPr>
          <w:color w:val="000000" w:themeColor="text1"/>
          <w:lang w:val="en-AU"/>
        </w:rPr>
        <w:fldChar w:fldCharType="end"/>
      </w:r>
      <w:r w:rsidRPr="4AF9E47B">
        <w:rPr>
          <w:color w:val="000000" w:themeColor="text1"/>
        </w:rPr>
        <w:t>.</w:t>
      </w:r>
    </w:p>
    <w:p w:rsidRPr="003F41FF" w:rsidR="00457F3C" w:rsidP="4AF9E47B" w:rsidRDefault="002B0AC2" w14:paraId="608E7091" w14:textId="706FA74B">
      <w:pPr>
        <w:pStyle w:val="Heading1"/>
        <w:rPr>
          <w:lang w:val="en-GB"/>
        </w:rPr>
      </w:pPr>
      <w:bookmarkStart w:name="_Toc457660160" w:id="32"/>
      <w:bookmarkStart w:name="_Toc84017840" w:id="33"/>
      <w:r w:rsidRPr="4AF9E47B">
        <w:rPr>
          <w:lang w:val="en-GB"/>
        </w:rPr>
        <w:t>4</w:t>
      </w:r>
      <w:r w:rsidRPr="4AF9E47B" w:rsidR="00457F3C">
        <w:rPr>
          <w:lang w:val="en-GB"/>
        </w:rPr>
        <w:t>. Tools</w:t>
      </w:r>
      <w:bookmarkEnd w:id="32"/>
      <w:bookmarkEnd w:id="33"/>
      <w:r w:rsidRPr="4AF9E47B" w:rsidR="00457F3C">
        <w:rPr>
          <w:lang w:val="en-GB"/>
        </w:rPr>
        <w:t xml:space="preserve"> </w:t>
      </w:r>
    </w:p>
    <w:p w:rsidRPr="003F41FF" w:rsidR="00457F3C" w:rsidP="4AF9E47B" w:rsidRDefault="00457F3C" w14:paraId="23C36FE2" w14:textId="1ECB359F">
      <w:r w:rsidRPr="4AF9E47B">
        <w:t xml:space="preserve">All statistical analyses will be carried out using </w:t>
      </w:r>
      <w:r w:rsidRPr="4AF9E47B" w:rsidR="00C00989">
        <w:t>R</w:t>
      </w:r>
      <w:r w:rsidRPr="4AF9E47B">
        <w:t xml:space="preserve">. </w:t>
      </w:r>
      <w:r w:rsidRPr="4AF9E47B" w:rsidR="00F01054">
        <w:t>However,</w:t>
      </w:r>
      <w:r w:rsidRPr="4AF9E47B">
        <w:t xml:space="preserve"> when equivalent statistical methods are applied</w:t>
      </w:r>
      <w:r w:rsidRPr="4AF9E47B" w:rsidR="00756CFF">
        <w:t xml:space="preserve"> in a different statistical software package</w:t>
      </w:r>
      <w:r w:rsidRPr="4AF9E47B" w:rsidR="00C00989">
        <w:t xml:space="preserve">, </w:t>
      </w:r>
      <w:r w:rsidRPr="4AF9E47B">
        <w:t xml:space="preserve">changing the use of statistical software </w:t>
      </w:r>
      <w:r w:rsidRPr="4AF9E47B" w:rsidR="0096603A">
        <w:t xml:space="preserve">will </w:t>
      </w:r>
      <w:r w:rsidRPr="4AF9E47B">
        <w:t xml:space="preserve">not require </w:t>
      </w:r>
      <w:r w:rsidRPr="4AF9E47B" w:rsidR="00C00989">
        <w:t xml:space="preserve">an </w:t>
      </w:r>
      <w:r w:rsidRPr="4AF9E47B">
        <w:t>amendment of this SAP.</w:t>
      </w:r>
    </w:p>
    <w:p w:rsidRPr="00F01054" w:rsidR="00457F3C" w:rsidP="4AF9E47B" w:rsidRDefault="002B0AC2" w14:paraId="1496C0D1" w14:textId="3711B775">
      <w:pPr>
        <w:pStyle w:val="Heading1"/>
        <w:keepLines w:val="0"/>
        <w:spacing w:after="60"/>
        <w:rPr>
          <w:lang w:val="en-GB"/>
        </w:rPr>
      </w:pPr>
      <w:bookmarkStart w:name="_Toc457660161" w:id="34"/>
      <w:bookmarkStart w:name="_Toc84017841" w:id="35"/>
      <w:r w:rsidRPr="4AF9E47B">
        <w:rPr>
          <w:lang w:val="en-GB"/>
        </w:rPr>
        <w:t>5</w:t>
      </w:r>
      <w:r w:rsidRPr="4AF9E47B" w:rsidR="00457F3C">
        <w:rPr>
          <w:lang w:val="en-GB"/>
        </w:rPr>
        <w:t>. Study Group Governance, Management, Coordination and Publication Policy</w:t>
      </w:r>
      <w:bookmarkEnd w:id="34"/>
      <w:bookmarkEnd w:id="35"/>
    </w:p>
    <w:p w:rsidRPr="00F01054" w:rsidR="00457F3C" w:rsidP="4AF9E47B" w:rsidRDefault="00457F3C" w14:paraId="38569CAA" w14:textId="4B2D6738">
      <w:pPr>
        <w:widowControl w:val="0"/>
        <w:autoSpaceDE w:val="0"/>
        <w:autoSpaceDN w:val="0"/>
        <w:adjustRightInd w:val="0"/>
        <w:spacing w:before="240"/>
        <w:jc w:val="both"/>
        <w:rPr>
          <w:rFonts w:cs="OpenSans"/>
          <w:color w:val="000000" w:themeColor="text1"/>
        </w:rPr>
      </w:pPr>
      <w:r w:rsidRPr="4AF9E47B">
        <w:rPr>
          <w:rFonts w:cs="OpenSans"/>
          <w:b/>
          <w:bCs/>
          <w:color w:val="000000" w:themeColor="text1"/>
        </w:rPr>
        <w:t xml:space="preserve">The </w:t>
      </w:r>
      <w:r w:rsidRPr="4AF9E47B" w:rsidR="00B81530">
        <w:rPr>
          <w:rFonts w:cs="OpenSans"/>
          <w:b/>
          <w:bCs/>
          <w:color w:val="000000" w:themeColor="text1"/>
        </w:rPr>
        <w:t xml:space="preserve">Primaquine </w:t>
      </w:r>
      <w:r w:rsidRPr="4AF9E47B" w:rsidR="00507C7E">
        <w:rPr>
          <w:rFonts w:cs="OpenSans"/>
          <w:b/>
          <w:bCs/>
          <w:color w:val="000000" w:themeColor="text1"/>
        </w:rPr>
        <w:t xml:space="preserve">Methaemoglobin </w:t>
      </w:r>
      <w:r w:rsidRPr="4AF9E47B" w:rsidR="00B81530">
        <w:rPr>
          <w:rFonts w:cs="OpenSans"/>
          <w:b/>
          <w:bCs/>
          <w:color w:val="000000" w:themeColor="text1"/>
        </w:rPr>
        <w:t>Study</w:t>
      </w:r>
      <w:r w:rsidRPr="4AF9E47B">
        <w:rPr>
          <w:rFonts w:cs="OpenSans"/>
          <w:b/>
          <w:bCs/>
          <w:color w:val="000000" w:themeColor="text1"/>
        </w:rPr>
        <w:t xml:space="preserve"> Group</w:t>
      </w:r>
      <w:r w:rsidRPr="4AF9E47B">
        <w:rPr>
          <w:rFonts w:cs="OpenSans"/>
          <w:color w:val="000000" w:themeColor="text1"/>
        </w:rPr>
        <w:t xml:space="preserve"> comprises participating investigators who contribute relevant data sets to the pooled analysis. Data sets will remain the property of the investigator and will not be shared without their consent. </w:t>
      </w:r>
      <w:r w:rsidRPr="4AF9E47B" w:rsidR="00B81530">
        <w:rPr>
          <w:rFonts w:cstheme="minorBidi"/>
          <w:color w:val="000000" w:themeColor="text1"/>
        </w:rPr>
        <w:t>Ihsan Fadilah</w:t>
      </w:r>
      <w:r w:rsidRPr="4AF9E47B" w:rsidR="001127F3">
        <w:rPr>
          <w:rFonts w:cstheme="minorBidi"/>
          <w:color w:val="000000" w:themeColor="text1"/>
        </w:rPr>
        <w:t xml:space="preserve">, </w:t>
      </w:r>
      <w:r w:rsidRPr="4AF9E47B" w:rsidR="00B81530">
        <w:rPr>
          <w:rFonts w:cstheme="minorBidi"/>
          <w:color w:val="000000" w:themeColor="text1"/>
        </w:rPr>
        <w:t>James Watson</w:t>
      </w:r>
      <w:r w:rsidRPr="4AF9E47B" w:rsidR="001127F3">
        <w:rPr>
          <w:rFonts w:cstheme="minorBidi"/>
          <w:color w:val="000000" w:themeColor="text1"/>
        </w:rPr>
        <w:t xml:space="preserve">, </w:t>
      </w:r>
      <w:r w:rsidRPr="4AF9E47B" w:rsidR="00B81530">
        <w:rPr>
          <w:rFonts w:cstheme="minorBidi"/>
          <w:color w:val="000000" w:themeColor="text1"/>
        </w:rPr>
        <w:t>Rob Commons, Kevin Baird, Ric Price, and Nicholas White</w:t>
      </w:r>
      <w:r w:rsidRPr="4AF9E47B" w:rsidR="001127F3">
        <w:rPr>
          <w:rFonts w:cstheme="minorBidi"/>
          <w:color w:val="000000" w:themeColor="text1"/>
        </w:rPr>
        <w:t xml:space="preserve"> will oversee the statistical </w:t>
      </w:r>
      <w:r w:rsidRPr="4AF9E47B" w:rsidR="00DA4098">
        <w:rPr>
          <w:rFonts w:cstheme="minorBidi"/>
          <w:color w:val="000000" w:themeColor="text1"/>
        </w:rPr>
        <w:t>analyses.</w:t>
      </w:r>
      <w:r w:rsidRPr="4AF9E47B" w:rsidR="00DA4098">
        <w:rPr>
          <w:rFonts w:cs="OpenSans"/>
          <w:color w:val="000000" w:themeColor="text1"/>
        </w:rPr>
        <w:t xml:space="preserve"> Participating</w:t>
      </w:r>
      <w:r w:rsidRPr="4AF9E47B">
        <w:rPr>
          <w:rFonts w:cs="OpenSans"/>
          <w:color w:val="000000" w:themeColor="text1"/>
        </w:rPr>
        <w:t xml:space="preserve"> investigators will be recognised in </w:t>
      </w:r>
      <w:r w:rsidRPr="4AF9E47B" w:rsidR="00B81530">
        <w:rPr>
          <w:rFonts w:cs="OpenSans"/>
          <w:color w:val="000000" w:themeColor="text1"/>
        </w:rPr>
        <w:t xml:space="preserve">the </w:t>
      </w:r>
      <w:r w:rsidRPr="4AF9E47B">
        <w:rPr>
          <w:rFonts w:cs="OpenSans"/>
          <w:color w:val="000000" w:themeColor="text1"/>
        </w:rPr>
        <w:t xml:space="preserve">publication as contributors under the banner of the </w:t>
      </w:r>
      <w:r w:rsidRPr="4AF9E47B" w:rsidR="00B81530">
        <w:rPr>
          <w:rFonts w:cs="OpenSans"/>
          <w:color w:val="000000" w:themeColor="text1"/>
        </w:rPr>
        <w:t xml:space="preserve">Primaquine </w:t>
      </w:r>
      <w:r w:rsidRPr="4AF9E47B" w:rsidR="00507C7E">
        <w:rPr>
          <w:rFonts w:cs="OpenSans"/>
          <w:color w:val="000000" w:themeColor="text1"/>
        </w:rPr>
        <w:t xml:space="preserve">Methaemoglobin </w:t>
      </w:r>
      <w:r w:rsidRPr="4AF9E47B" w:rsidR="00B81530">
        <w:rPr>
          <w:rFonts w:cs="OpenSans"/>
          <w:color w:val="000000" w:themeColor="text1"/>
        </w:rPr>
        <w:t xml:space="preserve">Study Group. </w:t>
      </w:r>
      <w:r w:rsidRPr="4AF9E47B">
        <w:rPr>
          <w:rFonts w:cs="OpenSans"/>
          <w:color w:val="000000" w:themeColor="text1"/>
        </w:rPr>
        <w:t xml:space="preserve">A Writing Committee will coordinate activities including data </w:t>
      </w:r>
      <w:r w:rsidRPr="4AF9E47B" w:rsidR="00F01054">
        <w:rPr>
          <w:rFonts w:cs="OpenSans"/>
          <w:color w:val="000000" w:themeColor="text1"/>
        </w:rPr>
        <w:t>analysis and</w:t>
      </w:r>
      <w:r w:rsidRPr="4AF9E47B">
        <w:rPr>
          <w:rFonts w:cs="OpenSans"/>
          <w:color w:val="000000" w:themeColor="text1"/>
        </w:rPr>
        <w:t xml:space="preserve"> drafting of publications and reports for complete group review. The Writing Committee will comprise </w:t>
      </w:r>
      <w:r w:rsidRPr="4AF9E47B" w:rsidR="009C768C">
        <w:rPr>
          <w:rFonts w:cstheme="minorBidi"/>
          <w:color w:val="000000" w:themeColor="text1"/>
        </w:rPr>
        <w:t xml:space="preserve">Ihsan Fadilah, James Watson, Rob Commons, Kevin Baird, Ric Price, Nicholas White </w:t>
      </w:r>
      <w:r w:rsidRPr="4AF9E47B">
        <w:rPr>
          <w:rFonts w:cstheme="minorBidi"/>
          <w:color w:val="000000" w:themeColor="text1"/>
        </w:rPr>
        <w:t>and other</w:t>
      </w:r>
      <w:r w:rsidRPr="4AF9E47B">
        <w:rPr>
          <w:rFonts w:cs="OpenSans"/>
          <w:color w:val="000000" w:themeColor="text1"/>
        </w:rPr>
        <w:t xml:space="preserve"> interested investigators. They are responsible for undertaking the data analysis and preparation of the manuscript. Authors will be recogni</w:t>
      </w:r>
      <w:r w:rsidRPr="4AF9E47B" w:rsidR="001127F3">
        <w:rPr>
          <w:rFonts w:cs="OpenSans"/>
          <w:color w:val="000000" w:themeColor="text1"/>
        </w:rPr>
        <w:t>s</w:t>
      </w:r>
      <w:r w:rsidRPr="4AF9E47B">
        <w:rPr>
          <w:rFonts w:cs="OpenSans"/>
          <w:color w:val="000000" w:themeColor="text1"/>
        </w:rPr>
        <w:t xml:space="preserve">ed according to the ICMJE guidelines and the </w:t>
      </w:r>
      <w:hyperlink r:id="rId14">
        <w:r w:rsidRPr="4AF9E47B">
          <w:rPr>
            <w:rStyle w:val="Hyperlink"/>
            <w:rFonts w:cs="OpenSans"/>
            <w:color w:val="000000" w:themeColor="text1"/>
            <w:u w:val="none"/>
          </w:rPr>
          <w:t>WWARN publication policy</w:t>
        </w:r>
      </w:hyperlink>
      <w:r w:rsidRPr="4AF9E47B" w:rsidR="00F01054">
        <w:rPr>
          <w:rStyle w:val="Hyperlink"/>
          <w:rFonts w:cs="OpenSans"/>
          <w:color w:val="000000" w:themeColor="text1"/>
          <w:u w:val="none"/>
        </w:rPr>
        <w:t xml:space="preserve"> </w:t>
      </w:r>
      <w:r w:rsidRPr="4AF9E47B">
        <w:rPr>
          <w:rStyle w:val="Hyperlink"/>
          <w:rFonts w:cs="OpenSans"/>
          <w:color w:val="000000" w:themeColor="text1"/>
          <w:u w:val="none"/>
          <w:lang w:val="en-AU"/>
        </w:rPr>
        <w:fldChar w:fldCharType="begin"/>
      </w:r>
      <w:r w:rsidR="005E0647">
        <w:rPr>
          <w:rStyle w:val="Hyperlink"/>
          <w:rFonts w:cs="OpenSans"/>
          <w:color w:val="000000" w:themeColor="text1"/>
          <w:u w:val="none"/>
          <w:lang w:val="en-AU"/>
        </w:rPr>
        <w:instrText xml:space="preserve"> ADDIN ZOTERO_ITEM CSL_CITATION {"citationID":"ZBEGO6fJ","properties":{"formattedCitation":"(13)","plainCitation":"(13)","noteIndex":0},"citationItems":[{"id":1198,"uris":["http://zotero.org/users/5812412/items/QW6X3YAL"],"itemData":{"id":1198,"type":"document","title":"WWARN Publication Policy","URL":"https://www.wwarn.org/sites/default/files/attachments/documents/wwarn_publication_policy.pdf","author":[{"literal":"WorldWide Antimalarial Resistance Network (WWARN)"}],"issued":{"date-parts":[["2015"]]}}}],"schema":"https://github.com/citation-style-language/schema/raw/master/csl-citation.json"} </w:instrText>
      </w:r>
      <w:r w:rsidRPr="4AF9E47B">
        <w:rPr>
          <w:rStyle w:val="Hyperlink"/>
          <w:rFonts w:cs="OpenSans"/>
          <w:color w:val="000000" w:themeColor="text1"/>
          <w:u w:val="none"/>
          <w:lang w:val="en-AU"/>
        </w:rPr>
        <w:fldChar w:fldCharType="separate"/>
      </w:r>
      <w:r w:rsidR="005E0647">
        <w:rPr>
          <w:rStyle w:val="Hyperlink"/>
          <w:rFonts w:cs="OpenSans"/>
          <w:color w:val="000000" w:themeColor="text1"/>
          <w:u w:val="none"/>
        </w:rPr>
        <w:t>(13)</w:t>
      </w:r>
      <w:r w:rsidRPr="4AF9E47B">
        <w:rPr>
          <w:rStyle w:val="Hyperlink"/>
          <w:rFonts w:cs="OpenSans"/>
          <w:color w:val="000000" w:themeColor="text1"/>
          <w:u w:val="none"/>
          <w:lang w:val="en-AU"/>
        </w:rPr>
        <w:fldChar w:fldCharType="end"/>
      </w:r>
      <w:r w:rsidRPr="4AF9E47B">
        <w:rPr>
          <w:rFonts w:cs="OpenSans"/>
          <w:color w:val="000000" w:themeColor="text1"/>
        </w:rPr>
        <w:t>.</w:t>
      </w:r>
    </w:p>
    <w:p w:rsidR="00457F3C" w:rsidP="4AF9E47B" w:rsidRDefault="002B0AC2" w14:paraId="6DC4E48C" w14:textId="0DECED98">
      <w:pPr>
        <w:pStyle w:val="Heading1"/>
        <w:spacing w:before="0" w:after="240"/>
        <w:rPr>
          <w:lang w:val="en-GB"/>
        </w:rPr>
      </w:pPr>
      <w:bookmarkStart w:name="_Toc84017842" w:id="36"/>
      <w:r w:rsidRPr="4AF9E47B">
        <w:rPr>
          <w:lang w:val="en-GB"/>
        </w:rPr>
        <w:t>6</w:t>
      </w:r>
      <w:r w:rsidRPr="4AF9E47B" w:rsidR="00457F3C">
        <w:rPr>
          <w:lang w:val="en-GB"/>
        </w:rPr>
        <w:t xml:space="preserve">. </w:t>
      </w:r>
      <w:bookmarkStart w:name="_Toc457660162" w:id="37"/>
      <w:r w:rsidRPr="4AF9E47B" w:rsidR="00457F3C">
        <w:rPr>
          <w:lang w:val="en-GB"/>
        </w:rPr>
        <w:t>References</w:t>
      </w:r>
      <w:bookmarkEnd w:id="36"/>
      <w:bookmarkEnd w:id="37"/>
    </w:p>
    <w:bookmarkStart w:name="_Toc457660163" w:id="38"/>
    <w:p w:rsidRPr="005E0647" w:rsidR="005E0647" w:rsidP="00936098" w:rsidRDefault="00A24F8C" w14:paraId="64B33768" w14:textId="77777777">
      <w:pPr>
        <w:pStyle w:val="Bibliography"/>
        <w:tabs>
          <w:tab w:val="clear" w:pos="260"/>
        </w:tabs>
        <w:ind w:left="426" w:hanging="426"/>
        <w:rPr>
          <w:rFonts w:ascii="Calibri" w:cs="Calibri"/>
          <w:color w:val="000000"/>
        </w:rPr>
      </w:pPr>
      <w:r w:rsidRPr="7430369C">
        <w:rPr>
          <w:rFonts w:cstheme="minorBidi"/>
          <w:color w:val="000000" w:themeColor="text1"/>
        </w:rPr>
        <w:fldChar w:fldCharType="begin"/>
      </w:r>
      <w:r w:rsidRPr="4AF9E47B">
        <w:rPr>
          <w:rFonts w:cstheme="minorBidi"/>
          <w:color w:val="000000" w:themeColor="text1"/>
        </w:rPr>
        <w:instrText xml:space="preserve"> ADDIN ZOTERO_BIBL {"uncited":[],"omitted":[],"custom":[]} CSL_BIBLIOGRAPHY </w:instrText>
      </w:r>
      <w:r w:rsidRPr="7430369C">
        <w:rPr>
          <w:rFonts w:cstheme="minorBidi"/>
          <w:color w:val="000000" w:themeColor="text1"/>
        </w:rPr>
        <w:fldChar w:fldCharType="separate"/>
      </w:r>
      <w:r w:rsidRPr="005E0647" w:rsidR="005E0647">
        <w:rPr>
          <w:rFonts w:ascii="Calibri" w:cs="Calibri"/>
          <w:color w:val="000000"/>
        </w:rPr>
        <w:t>1.</w:t>
      </w:r>
      <w:r w:rsidRPr="005E0647" w:rsidR="005E0647">
        <w:rPr>
          <w:rFonts w:ascii="Calibri" w:cs="Calibri"/>
          <w:color w:val="000000"/>
        </w:rPr>
        <w:tab/>
      </w:r>
      <w:r w:rsidRPr="005E0647" w:rsidR="005E0647">
        <w:rPr>
          <w:rFonts w:ascii="Calibri" w:cs="Calibri"/>
          <w:color w:val="000000"/>
        </w:rPr>
        <w:t xml:space="preserve">Chu CS, Watson JA, Phyo AP, Win HH, Yotyingaphiram W, Thinraow S, et al. Determinants of Primaquine and Carboxyprimaquine Exposures in Children and Adults with Plasmodium vivax Malaria. Antimicrobial agents and chemotherapy. 2021;65(11):e0130221. </w:t>
      </w:r>
    </w:p>
    <w:p w:rsidRPr="005E0647" w:rsidR="005E0647" w:rsidP="00936098" w:rsidRDefault="005E0647" w14:paraId="4A617C87" w14:textId="77777777">
      <w:pPr>
        <w:pStyle w:val="Bibliography"/>
        <w:tabs>
          <w:tab w:val="clear" w:pos="260"/>
        </w:tabs>
        <w:ind w:left="426" w:hanging="426"/>
        <w:rPr>
          <w:rFonts w:ascii="Calibri" w:cs="Calibri"/>
          <w:color w:val="000000"/>
        </w:rPr>
      </w:pPr>
      <w:r w:rsidRPr="005E0647">
        <w:rPr>
          <w:rFonts w:ascii="Calibri" w:cs="Calibri"/>
          <w:color w:val="000000"/>
        </w:rPr>
        <w:t>2.</w:t>
      </w:r>
      <w:r w:rsidRPr="005E0647">
        <w:rPr>
          <w:rFonts w:ascii="Calibri" w:cs="Calibri"/>
          <w:color w:val="000000"/>
        </w:rPr>
        <w:tab/>
      </w:r>
      <w:r w:rsidRPr="005E0647">
        <w:rPr>
          <w:rFonts w:ascii="Calibri" w:cs="Calibri"/>
          <w:color w:val="000000"/>
        </w:rPr>
        <w:t xml:space="preserve">Commons RJ, Thriemer K, Humphreys G, Suay I, Sibley CH, Guerin PJ, et al. The Vivax Surveyor: Online mapping database for Plasmodium vivax clinical trials. International Journal for Parasitology: Drugs and Drug Resistance. 2017 Aug;7(2):181–90. </w:t>
      </w:r>
    </w:p>
    <w:p w:rsidRPr="005E0647" w:rsidR="005E0647" w:rsidP="00936098" w:rsidRDefault="005E0647" w14:paraId="18F32887" w14:textId="77777777">
      <w:pPr>
        <w:pStyle w:val="Bibliography"/>
        <w:tabs>
          <w:tab w:val="clear" w:pos="260"/>
        </w:tabs>
        <w:ind w:left="426" w:hanging="426"/>
        <w:rPr>
          <w:rFonts w:ascii="Calibri" w:cs="Calibri"/>
          <w:color w:val="000000"/>
        </w:rPr>
      </w:pPr>
      <w:r w:rsidRPr="005E0647">
        <w:rPr>
          <w:rFonts w:ascii="Calibri" w:cs="Calibri"/>
          <w:color w:val="000000"/>
        </w:rPr>
        <w:t>3.</w:t>
      </w:r>
      <w:r w:rsidRPr="005E0647">
        <w:rPr>
          <w:rFonts w:ascii="Calibri" w:cs="Calibri"/>
          <w:color w:val="000000"/>
        </w:rPr>
        <w:tab/>
      </w:r>
      <w:r w:rsidRPr="005E0647">
        <w:rPr>
          <w:rFonts w:ascii="Calibri" w:cs="Calibri"/>
          <w:color w:val="000000"/>
        </w:rPr>
        <w:t>WorldWide Antimalarial Resistance Network (WWARN). Clinical Module: Data Management and Statistical Analysis Plan – Version 1.2. [Internet]. 2012. Available from: https://www.wwarn.org/sites/default/files/ClinicalDMSAP.pdf</w:t>
      </w:r>
    </w:p>
    <w:p w:rsidRPr="005E0647" w:rsidR="005E0647" w:rsidP="00936098" w:rsidRDefault="005E0647" w14:paraId="43668295" w14:textId="77777777">
      <w:pPr>
        <w:pStyle w:val="Bibliography"/>
        <w:tabs>
          <w:tab w:val="clear" w:pos="260"/>
        </w:tabs>
        <w:ind w:left="426" w:hanging="426"/>
        <w:rPr>
          <w:rFonts w:ascii="Calibri" w:cs="Calibri"/>
          <w:color w:val="000000"/>
        </w:rPr>
      </w:pPr>
      <w:r w:rsidRPr="005E0647">
        <w:rPr>
          <w:rFonts w:ascii="Calibri" w:cs="Calibri"/>
          <w:color w:val="000000"/>
        </w:rPr>
        <w:t>4.</w:t>
      </w:r>
      <w:r w:rsidRPr="005E0647">
        <w:rPr>
          <w:rFonts w:ascii="Calibri" w:cs="Calibri"/>
          <w:color w:val="000000"/>
        </w:rPr>
        <w:tab/>
      </w:r>
      <w:r w:rsidRPr="005E0647">
        <w:rPr>
          <w:rFonts w:ascii="Calibri" w:cs="Calibri"/>
          <w:color w:val="000000"/>
        </w:rPr>
        <w:t xml:space="preserve">Lee SJ, Stepniewska K, Anstey N, Ashley E, Barnes K, Binh TQ, et al. The relationship between the haemoglobin concentration and the haematocrit in Plasmodium falciparum malaria. Malar J. 2008 Dec;7(1):149. </w:t>
      </w:r>
    </w:p>
    <w:p w:rsidRPr="005E0647" w:rsidR="005E0647" w:rsidP="00936098" w:rsidRDefault="005E0647" w14:paraId="4EAC692B" w14:textId="77777777">
      <w:pPr>
        <w:pStyle w:val="Bibliography"/>
        <w:tabs>
          <w:tab w:val="clear" w:pos="260"/>
        </w:tabs>
        <w:ind w:left="426" w:hanging="426"/>
        <w:rPr>
          <w:rFonts w:ascii="Calibri" w:cs="Calibri"/>
          <w:color w:val="000000"/>
        </w:rPr>
      </w:pPr>
      <w:r w:rsidRPr="005E0647">
        <w:rPr>
          <w:rFonts w:ascii="Calibri" w:cs="Calibri"/>
          <w:color w:val="000000"/>
        </w:rPr>
        <w:t>5.</w:t>
      </w:r>
      <w:r w:rsidRPr="005E0647">
        <w:rPr>
          <w:rFonts w:ascii="Calibri" w:cs="Calibri"/>
          <w:color w:val="000000"/>
        </w:rPr>
        <w:tab/>
      </w:r>
      <w:r w:rsidRPr="005E0647">
        <w:rPr>
          <w:rFonts w:ascii="Calibri" w:cs="Calibri"/>
          <w:color w:val="000000"/>
        </w:rPr>
        <w:t xml:space="preserve">Battle KE, Lucas TCD, Nguyen M, Howes RE, Nandi AK, Twohig KA, et al. Mapping the global endemicity and clinical burden of Plasmodium vivax, 2000–17: a spatial and temporal modelling study. The Lancet. 2019 Jul;394(10195):332–43. </w:t>
      </w:r>
    </w:p>
    <w:p w:rsidRPr="005E0647" w:rsidR="005E0647" w:rsidP="00936098" w:rsidRDefault="005E0647" w14:paraId="474B64B2" w14:textId="77777777">
      <w:pPr>
        <w:pStyle w:val="Bibliography"/>
        <w:tabs>
          <w:tab w:val="clear" w:pos="260"/>
        </w:tabs>
        <w:ind w:left="426" w:hanging="426"/>
        <w:rPr>
          <w:rFonts w:ascii="Calibri" w:cs="Calibri"/>
          <w:color w:val="000000"/>
        </w:rPr>
      </w:pPr>
      <w:r w:rsidRPr="005E0647">
        <w:rPr>
          <w:rFonts w:ascii="Calibri" w:cs="Calibri"/>
          <w:color w:val="000000"/>
        </w:rPr>
        <w:t>6.</w:t>
      </w:r>
      <w:r w:rsidRPr="005E0647">
        <w:rPr>
          <w:rFonts w:ascii="Calibri" w:cs="Calibri"/>
          <w:color w:val="000000"/>
        </w:rPr>
        <w:tab/>
      </w:r>
      <w:r w:rsidRPr="005E0647">
        <w:rPr>
          <w:rFonts w:ascii="Calibri" w:cs="Calibri"/>
          <w:color w:val="000000"/>
        </w:rPr>
        <w:t xml:space="preserve">Battle KE, Karhunen MS, Bhatt S, Gething PW, Howes RE, Golding N, et al. Geographical variation in Plasmodium vivax relapse. Malar J. 2014 Dec;13(1):144. </w:t>
      </w:r>
    </w:p>
    <w:p w:rsidRPr="005E0647" w:rsidR="005E0647" w:rsidP="00936098" w:rsidRDefault="005E0647" w14:paraId="3262E4D8" w14:textId="77777777">
      <w:pPr>
        <w:pStyle w:val="Bibliography"/>
        <w:tabs>
          <w:tab w:val="clear" w:pos="260"/>
        </w:tabs>
        <w:ind w:left="426" w:hanging="426"/>
        <w:rPr>
          <w:rFonts w:ascii="Calibri" w:cs="Calibri"/>
          <w:color w:val="000000"/>
        </w:rPr>
      </w:pPr>
      <w:r w:rsidRPr="005E0647">
        <w:rPr>
          <w:rFonts w:ascii="Calibri" w:cs="Calibri"/>
          <w:color w:val="000000"/>
        </w:rPr>
        <w:t>7.</w:t>
      </w:r>
      <w:r w:rsidRPr="005E0647">
        <w:rPr>
          <w:rFonts w:ascii="Calibri" w:cs="Calibri"/>
          <w:color w:val="000000"/>
        </w:rPr>
        <w:tab/>
      </w:r>
      <w:r w:rsidRPr="005E0647">
        <w:rPr>
          <w:rFonts w:ascii="Calibri" w:cs="Calibri"/>
          <w:color w:val="000000"/>
        </w:rPr>
        <w:t xml:space="preserve">Gaedigk A, Simon S, Pearce R, Bradford L, Kennedy M, Leeder J. The CYP2D6 Activity Score: Translating Genotype Information into a Qualitative Measure of Phenotype. Clin Pharmacol Ther. 2008 Feb;83(2):234–42. </w:t>
      </w:r>
    </w:p>
    <w:p w:rsidRPr="005E0647" w:rsidR="005E0647" w:rsidP="00936098" w:rsidRDefault="005E0647" w14:paraId="16F206B1" w14:textId="77777777">
      <w:pPr>
        <w:pStyle w:val="Bibliography"/>
        <w:tabs>
          <w:tab w:val="clear" w:pos="260"/>
        </w:tabs>
        <w:ind w:left="426" w:hanging="426"/>
        <w:rPr>
          <w:rFonts w:ascii="Calibri" w:cs="Calibri"/>
          <w:color w:val="000000"/>
        </w:rPr>
      </w:pPr>
      <w:r w:rsidRPr="005E0647">
        <w:rPr>
          <w:rFonts w:ascii="Calibri" w:cs="Calibri"/>
          <w:color w:val="000000"/>
        </w:rPr>
        <w:t>8.</w:t>
      </w:r>
      <w:r w:rsidRPr="005E0647">
        <w:rPr>
          <w:rFonts w:ascii="Calibri" w:cs="Calibri"/>
          <w:color w:val="000000"/>
        </w:rPr>
        <w:tab/>
      </w:r>
      <w:r w:rsidRPr="005E0647">
        <w:rPr>
          <w:rFonts w:ascii="Calibri" w:cs="Calibri"/>
          <w:color w:val="000000"/>
        </w:rPr>
        <w:t xml:space="preserve">Gaedigk A, Sangkuhl K, Whirl-Carrillo M, Klein T, Leeder JS. Prediction of CYP2D6 phenotype from genotype across world populations. Genetics in Medicine. 2017 Jan;19(1):69–76. </w:t>
      </w:r>
    </w:p>
    <w:p w:rsidRPr="005E0647" w:rsidR="005E0647" w:rsidP="00936098" w:rsidRDefault="005E0647" w14:paraId="5DF76E12" w14:textId="77777777">
      <w:pPr>
        <w:pStyle w:val="Bibliography"/>
        <w:tabs>
          <w:tab w:val="clear" w:pos="260"/>
        </w:tabs>
        <w:ind w:left="426" w:hanging="426"/>
        <w:rPr>
          <w:rFonts w:ascii="Calibri" w:cs="Calibri"/>
          <w:color w:val="000000"/>
        </w:rPr>
      </w:pPr>
      <w:r w:rsidRPr="005E0647">
        <w:rPr>
          <w:rFonts w:ascii="Calibri" w:cs="Calibri"/>
          <w:color w:val="000000"/>
        </w:rPr>
        <w:t>9.</w:t>
      </w:r>
      <w:r w:rsidRPr="005E0647">
        <w:rPr>
          <w:rFonts w:ascii="Calibri" w:cs="Calibri"/>
          <w:color w:val="000000"/>
        </w:rPr>
        <w:tab/>
      </w:r>
      <w:r w:rsidRPr="005E0647">
        <w:rPr>
          <w:rFonts w:ascii="Calibri" w:cs="Calibri"/>
          <w:color w:val="000000"/>
        </w:rPr>
        <w:t xml:space="preserve">Caudle KE, Sangkuhl K, Whirl‐Carrillo M, Swen JJ, Haidar CE, Klein TE, et al. Standardizing </w:t>
      </w:r>
      <w:r w:rsidRPr="005E0647">
        <w:rPr>
          <w:rFonts w:ascii="Calibri" w:cs="Calibri"/>
          <w:i/>
          <w:iCs/>
          <w:color w:val="000000"/>
        </w:rPr>
        <w:t xml:space="preserve"> </w:t>
      </w:r>
      <w:r w:rsidRPr="005E0647">
        <w:rPr>
          <w:rFonts w:ascii="Calibri" w:cs="Calibri"/>
          <w:i/>
          <w:iCs/>
          <w:smallCaps/>
          <w:color w:val="000000"/>
        </w:rPr>
        <w:t>CYP</w:t>
      </w:r>
      <w:r w:rsidRPr="005E0647">
        <w:rPr>
          <w:rFonts w:ascii="Calibri" w:cs="Calibri"/>
          <w:i/>
          <w:iCs/>
          <w:color w:val="000000"/>
        </w:rPr>
        <w:t xml:space="preserve"> 2D6 </w:t>
      </w:r>
      <w:r w:rsidRPr="005E0647">
        <w:rPr>
          <w:rFonts w:ascii="Calibri" w:cs="Calibri"/>
          <w:color w:val="000000"/>
        </w:rPr>
        <w:t xml:space="preserve"> Genotype to Phenotype Translation: Consensus Recommendations from the Clinical Pharmacogenetics Implementation Consortium and Dutch Pharmacogenetics Working Group. Clin Transl Sci. 2020 Jan;13(1):116–24. </w:t>
      </w:r>
    </w:p>
    <w:p w:rsidRPr="005E0647" w:rsidR="005E0647" w:rsidP="00936098" w:rsidRDefault="005E0647" w14:paraId="78468419" w14:textId="77777777">
      <w:pPr>
        <w:pStyle w:val="Bibliography"/>
        <w:tabs>
          <w:tab w:val="clear" w:pos="260"/>
        </w:tabs>
        <w:ind w:left="426" w:hanging="426"/>
        <w:rPr>
          <w:rFonts w:ascii="Calibri" w:cs="Calibri"/>
          <w:color w:val="000000"/>
        </w:rPr>
      </w:pPr>
      <w:r w:rsidRPr="005E0647">
        <w:rPr>
          <w:rFonts w:ascii="Calibri" w:cs="Calibri"/>
          <w:color w:val="000000"/>
        </w:rPr>
        <w:t>10.</w:t>
      </w:r>
      <w:r w:rsidRPr="005E0647">
        <w:rPr>
          <w:rFonts w:ascii="Calibri" w:cs="Calibri"/>
          <w:color w:val="000000"/>
        </w:rPr>
        <w:tab/>
      </w:r>
      <w:r w:rsidRPr="005E0647">
        <w:rPr>
          <w:rFonts w:ascii="Calibri" w:cs="Calibri"/>
          <w:color w:val="000000"/>
        </w:rPr>
        <w:t xml:space="preserve">John GK, Douglas NM, von Seidlein L, Nosten F, Baird JK, White NJ, et al. Primaquine radical cure of Plasmodium vivax: a critical review of the literature. Malar J. 2012 Dec;11(1):280. </w:t>
      </w:r>
    </w:p>
    <w:p w:rsidRPr="005E0647" w:rsidR="005E0647" w:rsidP="00936098" w:rsidRDefault="005E0647" w14:paraId="4446B1F0" w14:textId="77777777">
      <w:pPr>
        <w:pStyle w:val="Bibliography"/>
        <w:tabs>
          <w:tab w:val="clear" w:pos="260"/>
        </w:tabs>
        <w:ind w:left="426" w:hanging="426"/>
        <w:rPr>
          <w:rFonts w:ascii="Calibri" w:cs="Calibri"/>
          <w:color w:val="000000"/>
        </w:rPr>
      </w:pPr>
      <w:r w:rsidRPr="005E0647">
        <w:rPr>
          <w:rFonts w:ascii="Calibri" w:cs="Calibri"/>
          <w:color w:val="000000"/>
        </w:rPr>
        <w:t>11.</w:t>
      </w:r>
      <w:r w:rsidRPr="005E0647">
        <w:rPr>
          <w:rFonts w:ascii="Calibri" w:cs="Calibri"/>
          <w:color w:val="000000"/>
        </w:rPr>
        <w:tab/>
      </w:r>
      <w:r w:rsidRPr="005E0647">
        <w:rPr>
          <w:rFonts w:ascii="Calibri" w:cs="Calibri"/>
          <w:color w:val="000000"/>
        </w:rPr>
        <w:t xml:space="preserve">Hayden JA, van der Windt DA, Cartwright JL, Côté P, Bombardier C. Assessing Bias in Studies of Prognostic Factors. Ann Intern Med. 2013 Feb 19;158(4):280. </w:t>
      </w:r>
    </w:p>
    <w:p w:rsidRPr="005E0647" w:rsidR="005E0647" w:rsidP="00936098" w:rsidRDefault="005E0647" w14:paraId="67250B98" w14:textId="77777777">
      <w:pPr>
        <w:pStyle w:val="Bibliography"/>
        <w:tabs>
          <w:tab w:val="clear" w:pos="260"/>
        </w:tabs>
        <w:ind w:left="426" w:hanging="426"/>
        <w:rPr>
          <w:rFonts w:ascii="Calibri" w:cs="Calibri"/>
          <w:color w:val="000000"/>
        </w:rPr>
      </w:pPr>
      <w:r w:rsidRPr="005E0647">
        <w:rPr>
          <w:rFonts w:ascii="Calibri" w:cs="Calibri"/>
          <w:color w:val="000000"/>
        </w:rPr>
        <w:t>12.</w:t>
      </w:r>
      <w:r w:rsidRPr="005E0647">
        <w:rPr>
          <w:rFonts w:ascii="Calibri" w:cs="Calibri"/>
          <w:color w:val="000000"/>
        </w:rPr>
        <w:tab/>
      </w:r>
      <w:r w:rsidRPr="005E0647">
        <w:rPr>
          <w:rFonts w:ascii="Calibri" w:cs="Calibri"/>
          <w:color w:val="000000"/>
        </w:rPr>
        <w:t xml:space="preserve">Stewart LA, Clarke M, Rovers M, Riley RD, Simmonds M, Stewart G, et al. Preferred Reporting Items for a Systematic Review and Meta-analysis of Individual Participant Data: The PRISMA-IPD Statement. JAMA. 2015 Apr 28;313(16):1657. </w:t>
      </w:r>
    </w:p>
    <w:p w:rsidRPr="005E0647" w:rsidR="005E0647" w:rsidP="00936098" w:rsidRDefault="005E0647" w14:paraId="133AA408" w14:textId="77777777">
      <w:pPr>
        <w:pStyle w:val="Bibliography"/>
        <w:tabs>
          <w:tab w:val="clear" w:pos="260"/>
        </w:tabs>
        <w:ind w:left="426" w:hanging="426"/>
        <w:rPr>
          <w:rFonts w:ascii="Calibri" w:cs="Calibri"/>
          <w:color w:val="000000"/>
        </w:rPr>
      </w:pPr>
      <w:r w:rsidRPr="005E0647">
        <w:rPr>
          <w:rFonts w:ascii="Calibri" w:cs="Calibri"/>
          <w:color w:val="000000"/>
        </w:rPr>
        <w:t>13.</w:t>
      </w:r>
      <w:r w:rsidRPr="005E0647">
        <w:rPr>
          <w:rFonts w:ascii="Calibri" w:cs="Calibri"/>
          <w:color w:val="000000"/>
        </w:rPr>
        <w:tab/>
      </w:r>
      <w:r w:rsidRPr="005E0647">
        <w:rPr>
          <w:rFonts w:ascii="Calibri" w:cs="Calibri"/>
          <w:color w:val="000000"/>
        </w:rPr>
        <w:t>WorldWide Antimalarial Resistance Network (WWARN). WWARN Publication Policy [Internet]. 2015. Available from: https://www.wwarn.org/sites/default/files/attachments/documents/wwarn_publication_policy.pdf</w:t>
      </w:r>
    </w:p>
    <w:p w:rsidR="00C91285" w:rsidP="0082524A" w:rsidRDefault="00A24F8C" w14:paraId="0AD25DA1" w14:textId="05D0E019">
      <w:pPr>
        <w:pStyle w:val="Heading1"/>
        <w:tabs>
          <w:tab w:val="left" w:pos="284"/>
        </w:tabs>
        <w:ind w:left="284" w:hanging="284"/>
      </w:pPr>
      <w:r w:rsidRPr="7430369C">
        <w:rPr>
          <w:rFonts w:asciiTheme="minorHAnsi" w:hAnsiTheme="minorHAnsi" w:cstheme="minorBidi"/>
          <w:color w:val="000000" w:themeColor="text1"/>
          <w:sz w:val="22"/>
          <w:szCs w:val="22"/>
        </w:rPr>
        <w:fldChar w:fldCharType="end"/>
      </w:r>
      <w:bookmarkEnd w:id="38"/>
    </w:p>
    <w:sectPr w:rsidR="00C91285" w:rsidSect="00E9310C">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10C" w:rsidP="00E84EC3" w:rsidRDefault="00E9310C" w14:paraId="5B4625F6" w14:textId="77777777">
      <w:pPr>
        <w:spacing w:after="0" w:line="240" w:lineRule="auto"/>
      </w:pPr>
      <w:r>
        <w:separator/>
      </w:r>
    </w:p>
  </w:endnote>
  <w:endnote w:type="continuationSeparator" w:id="0">
    <w:p w:rsidR="00E9310C" w:rsidP="00E84EC3" w:rsidRDefault="00E9310C" w14:paraId="6DF131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10C" w:rsidP="00E84EC3" w:rsidRDefault="00E9310C" w14:paraId="43726560" w14:textId="77777777">
      <w:pPr>
        <w:spacing w:after="0" w:line="240" w:lineRule="auto"/>
      </w:pPr>
      <w:r>
        <w:separator/>
      </w:r>
    </w:p>
  </w:footnote>
  <w:footnote w:type="continuationSeparator" w:id="0">
    <w:p w:rsidR="00E9310C" w:rsidP="00E84EC3" w:rsidRDefault="00E9310C" w14:paraId="441ACE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EC3" w:rsidP="00E3672C" w:rsidRDefault="00E84EC3" w14:paraId="40296E0A" w14:textId="70D82232">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1FEE">
      <w:rPr>
        <w:rStyle w:val="PageNumber"/>
        <w:noProof/>
      </w:rPr>
      <w:t>1</w:t>
    </w:r>
    <w:r>
      <w:rPr>
        <w:rStyle w:val="PageNumber"/>
      </w:rPr>
      <w:fldChar w:fldCharType="end"/>
    </w:r>
  </w:p>
  <w:p w:rsidR="00E84EC3" w:rsidP="00E84EC3" w:rsidRDefault="00E84EC3" w14:paraId="5158365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063988"/>
      <w:docPartObj>
        <w:docPartGallery w:val="Page Numbers (Top of Page)"/>
        <w:docPartUnique/>
      </w:docPartObj>
    </w:sdtPr>
    <w:sdtContent>
      <w:p w:rsidR="00E3672C" w:rsidP="00475D86" w:rsidRDefault="00E3672C" w14:paraId="67C77551" w14:textId="45A4BCF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E84EC3" w:rsidP="00E84EC3" w:rsidRDefault="00E84EC3" w14:paraId="76089F38" w14:textId="77777777">
    <w:pPr>
      <w:pStyle w:val="Header"/>
      <w:ind w:right="360"/>
    </w:pPr>
  </w:p>
</w:hdr>
</file>

<file path=word/intelligence2.xml><?xml version="1.0" encoding="utf-8"?>
<int2:intelligence xmlns:int2="http://schemas.microsoft.com/office/intelligence/2020/intelligence" xmlns:oel="http://schemas.microsoft.com/office/2019/extlst">
  <int2:observations>
    <int2:textHash int2:hashCode="QDeZ6R1w2Ga7xM" int2:id="JzkBXQS5">
      <int2:state int2:value="Rejected" int2:type="AugLoop_Text_Critique"/>
    </int2:textHash>
    <int2:textHash int2:hashCode="sQzCCHE7biTUKW" int2:id="VQ6ExJke">
      <int2:state int2:value="Rejected" int2:type="AugLoop_Text_Critique"/>
    </int2:textHash>
    <int2:textHash int2:hashCode="h6UGAQhPE1ZNJj" int2:id="6GO1jksf">
      <int2:state int2:value="Rejected" int2:type="AugLoop_Text_Critique"/>
    </int2:textHash>
    <int2:bookmark int2:bookmarkName="_Int_GNAf0CTl" int2:invalidationBookmarkName="" int2:hashCode="Ddns3djIBbbOj7" int2:id="w8BvxuJ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D34"/>
    <w:multiLevelType w:val="multilevel"/>
    <w:tmpl w:val="7A743B66"/>
    <w:lvl w:ilvl="0">
      <w:start w:val="16"/>
      <w:numFmt w:val="bullet"/>
      <w:lvlText w:val=""/>
      <w:lvlJc w:val="left"/>
      <w:pPr>
        <w:ind w:left="360" w:hanging="360"/>
      </w:pPr>
      <w:rPr>
        <w:rFonts w:hint="default" w:ascii="Symbol" w:hAnsi="Symbol" w:cs="Times New Roman" w:eastAsiaTheme="minorHAnsi"/>
        <w:b/>
        <w:color w:val="auto"/>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hint="default" w:eastAsia="Times New Roman" w:cs="Times New Roman"/>
        <w:b/>
      </w:rPr>
    </w:lvl>
    <w:lvl w:ilvl="3">
      <w:start w:val="1"/>
      <w:numFmt w:val="decimal"/>
      <w:lvlText w:val="%1.%2.%3.%4"/>
      <w:lvlJc w:val="left"/>
      <w:pPr>
        <w:ind w:left="720" w:hanging="720"/>
      </w:pPr>
      <w:rPr>
        <w:rFonts w:hint="default" w:eastAsia="Times New Roman" w:cs="Times New Roman"/>
        <w:b/>
      </w:rPr>
    </w:lvl>
    <w:lvl w:ilvl="4">
      <w:start w:val="1"/>
      <w:numFmt w:val="decimal"/>
      <w:lvlText w:val="%1.%2.%3.%4.%5"/>
      <w:lvlJc w:val="left"/>
      <w:pPr>
        <w:ind w:left="1080" w:hanging="1080"/>
      </w:pPr>
      <w:rPr>
        <w:rFonts w:hint="default" w:eastAsia="Times New Roman" w:cs="Times New Roman"/>
        <w:b/>
      </w:rPr>
    </w:lvl>
    <w:lvl w:ilvl="5">
      <w:start w:val="1"/>
      <w:numFmt w:val="decimal"/>
      <w:lvlText w:val="%1.%2.%3.%4.%5.%6"/>
      <w:lvlJc w:val="left"/>
      <w:pPr>
        <w:ind w:left="1080" w:hanging="1080"/>
      </w:pPr>
      <w:rPr>
        <w:rFonts w:hint="default" w:eastAsia="Times New Roman" w:cs="Times New Roman"/>
        <w:b/>
      </w:rPr>
    </w:lvl>
    <w:lvl w:ilvl="6">
      <w:start w:val="1"/>
      <w:numFmt w:val="decimal"/>
      <w:lvlText w:val="%1.%2.%3.%4.%5.%6.%7"/>
      <w:lvlJc w:val="left"/>
      <w:pPr>
        <w:ind w:left="1440" w:hanging="1440"/>
      </w:pPr>
      <w:rPr>
        <w:rFonts w:hint="default" w:eastAsia="Times New Roman" w:cs="Times New Roman"/>
        <w:b/>
      </w:rPr>
    </w:lvl>
    <w:lvl w:ilvl="7">
      <w:start w:val="1"/>
      <w:numFmt w:val="decimal"/>
      <w:lvlText w:val="%1.%2.%3.%4.%5.%6.%7.%8"/>
      <w:lvlJc w:val="left"/>
      <w:pPr>
        <w:ind w:left="1440" w:hanging="1440"/>
      </w:pPr>
      <w:rPr>
        <w:rFonts w:hint="default" w:eastAsia="Times New Roman" w:cs="Times New Roman"/>
        <w:b/>
      </w:rPr>
    </w:lvl>
    <w:lvl w:ilvl="8">
      <w:start w:val="1"/>
      <w:numFmt w:val="decimal"/>
      <w:lvlText w:val="%1.%2.%3.%4.%5.%6.%7.%8.%9"/>
      <w:lvlJc w:val="left"/>
      <w:pPr>
        <w:ind w:left="1440" w:hanging="1440"/>
      </w:pPr>
      <w:rPr>
        <w:rFonts w:hint="default" w:eastAsia="Times New Roman" w:cs="Times New Roman"/>
        <w:b/>
      </w:rPr>
    </w:lvl>
  </w:abstractNum>
  <w:abstractNum w:abstractNumId="1" w15:restartNumberingAfterBreak="0">
    <w:nsid w:val="01EC660A"/>
    <w:multiLevelType w:val="multilevel"/>
    <w:tmpl w:val="946EC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FE6A38"/>
    <w:multiLevelType w:val="hybridMultilevel"/>
    <w:tmpl w:val="42E48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E75E3"/>
    <w:multiLevelType w:val="hybridMultilevel"/>
    <w:tmpl w:val="89260628"/>
    <w:lvl w:ilvl="0" w:tplc="04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E2C74"/>
    <w:multiLevelType w:val="multilevel"/>
    <w:tmpl w:val="24DEE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124D6B"/>
    <w:multiLevelType w:val="multilevel"/>
    <w:tmpl w:val="9724C9A0"/>
    <w:lvl w:ilvl="0">
      <w:start w:val="1"/>
      <w:numFmt w:val="bullet"/>
      <w:lvlText w:val="•"/>
      <w:lvlJc w:val="left"/>
      <w:pPr>
        <w:ind w:left="720" w:hanging="360"/>
      </w:pPr>
      <w:rPr>
        <w:rFonts w:hint="default"/>
        <w:b/>
      </w:rPr>
    </w:lvl>
    <w:lvl w:ilvl="1">
      <w:start w:val="1"/>
      <w:numFmt w:val="decimal"/>
      <w:lvlText w:val="1.3.%2"/>
      <w:lvlJc w:val="left"/>
      <w:pPr>
        <w:ind w:left="720" w:hanging="360"/>
      </w:pPr>
      <w:rPr>
        <w:rFonts w:hint="default" w:eastAsia="Times New Roman" w:cs="Times New Roman"/>
        <w:b/>
      </w:rPr>
    </w:lvl>
    <w:lvl w:ilvl="2">
      <w:start w:val="1"/>
      <w:numFmt w:val="decimal"/>
      <w:lvlText w:val="%1.%2.%3"/>
      <w:lvlJc w:val="left"/>
      <w:pPr>
        <w:ind w:left="1080" w:hanging="720"/>
      </w:pPr>
      <w:rPr>
        <w:rFonts w:hint="default" w:eastAsia="Times New Roman" w:cs="Times New Roman"/>
        <w:b/>
      </w:rPr>
    </w:lvl>
    <w:lvl w:ilvl="3">
      <w:start w:val="1"/>
      <w:numFmt w:val="decimal"/>
      <w:lvlText w:val="%1.%2.%3.%4"/>
      <w:lvlJc w:val="left"/>
      <w:pPr>
        <w:ind w:left="1080" w:hanging="720"/>
      </w:pPr>
      <w:rPr>
        <w:rFonts w:hint="default" w:eastAsia="Times New Roman" w:cs="Times New Roman"/>
        <w:b/>
      </w:rPr>
    </w:lvl>
    <w:lvl w:ilvl="4">
      <w:start w:val="1"/>
      <w:numFmt w:val="decimal"/>
      <w:lvlText w:val="%1.%2.%3.%4.%5"/>
      <w:lvlJc w:val="left"/>
      <w:pPr>
        <w:ind w:left="1440" w:hanging="1080"/>
      </w:pPr>
      <w:rPr>
        <w:rFonts w:hint="default" w:eastAsia="Times New Roman" w:cs="Times New Roman"/>
        <w:b/>
      </w:rPr>
    </w:lvl>
    <w:lvl w:ilvl="5">
      <w:start w:val="1"/>
      <w:numFmt w:val="decimal"/>
      <w:lvlText w:val="%1.%2.%3.%4.%5.%6"/>
      <w:lvlJc w:val="left"/>
      <w:pPr>
        <w:ind w:left="1440" w:hanging="1080"/>
      </w:pPr>
      <w:rPr>
        <w:rFonts w:hint="default" w:eastAsia="Times New Roman" w:cs="Times New Roman"/>
        <w:b/>
      </w:rPr>
    </w:lvl>
    <w:lvl w:ilvl="6">
      <w:start w:val="1"/>
      <w:numFmt w:val="decimal"/>
      <w:lvlText w:val="%1.%2.%3.%4.%5.%6.%7"/>
      <w:lvlJc w:val="left"/>
      <w:pPr>
        <w:ind w:left="1800" w:hanging="1440"/>
      </w:pPr>
      <w:rPr>
        <w:rFonts w:hint="default" w:eastAsia="Times New Roman" w:cs="Times New Roman"/>
        <w:b/>
      </w:rPr>
    </w:lvl>
    <w:lvl w:ilvl="7">
      <w:start w:val="1"/>
      <w:numFmt w:val="decimal"/>
      <w:lvlText w:val="%1.%2.%3.%4.%5.%6.%7.%8"/>
      <w:lvlJc w:val="left"/>
      <w:pPr>
        <w:ind w:left="1800" w:hanging="1440"/>
      </w:pPr>
      <w:rPr>
        <w:rFonts w:hint="default" w:eastAsia="Times New Roman" w:cs="Times New Roman"/>
        <w:b/>
      </w:rPr>
    </w:lvl>
    <w:lvl w:ilvl="8">
      <w:start w:val="1"/>
      <w:numFmt w:val="decimal"/>
      <w:lvlText w:val="%1.%2.%3.%4.%5.%6.%7.%8.%9"/>
      <w:lvlJc w:val="left"/>
      <w:pPr>
        <w:ind w:left="1800" w:hanging="1440"/>
      </w:pPr>
      <w:rPr>
        <w:rFonts w:hint="default" w:eastAsia="Times New Roman" w:cs="Times New Roman"/>
        <w:b/>
      </w:rPr>
    </w:lvl>
  </w:abstractNum>
  <w:abstractNum w:abstractNumId="6" w15:restartNumberingAfterBreak="0">
    <w:nsid w:val="1F9710E2"/>
    <w:multiLevelType w:val="multilevel"/>
    <w:tmpl w:val="3C6C80E8"/>
    <w:styleLink w:val="CurrentList1"/>
    <w:lvl w:ilvl="0">
      <w:start w:val="1"/>
      <w:numFmt w:val="decimal"/>
      <w:lvlText w:val="2.6.%1"/>
      <w:lvlJc w:val="left"/>
      <w:pPr>
        <w:ind w:left="360" w:hanging="360"/>
      </w:pPr>
      <w:rPr>
        <w:rFonts w:hint="default"/>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7" w15:restartNumberingAfterBreak="0">
    <w:nsid w:val="21B43255"/>
    <w:multiLevelType w:val="hybridMultilevel"/>
    <w:tmpl w:val="46CA3DF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6A6D5D"/>
    <w:multiLevelType w:val="multilevel"/>
    <w:tmpl w:val="1FFC745E"/>
    <w:styleLink w:val="CurrentList2"/>
    <w:lvl w:ilvl="0">
      <w:start w:val="1"/>
      <w:numFmt w:val="decimal"/>
      <w:lvlText w:val="2.6.1.%1."/>
      <w:lvlJc w:val="left"/>
      <w:pPr>
        <w:ind w:left="36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CD1127"/>
    <w:multiLevelType w:val="multilevel"/>
    <w:tmpl w:val="044AFD4C"/>
    <w:lvl w:ilvl="0">
      <w:start w:val="3"/>
      <w:numFmt w:val="decimal"/>
      <w:lvlText w:val="%1"/>
      <w:lvlJc w:val="left"/>
      <w:pPr>
        <w:ind w:left="360" w:hanging="360"/>
      </w:pPr>
      <w:rPr>
        <w:rFonts w:hint="default" w:eastAsia="Times New Roman" w:cs="Times New Roman"/>
        <w:b/>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hint="default" w:eastAsia="Times New Roman" w:cs="Times New Roman"/>
        <w:b/>
      </w:rPr>
    </w:lvl>
    <w:lvl w:ilvl="3">
      <w:start w:val="1"/>
      <w:numFmt w:val="decimal"/>
      <w:lvlText w:val="%1.%2.%3.%4"/>
      <w:lvlJc w:val="left"/>
      <w:pPr>
        <w:ind w:left="720" w:hanging="720"/>
      </w:pPr>
      <w:rPr>
        <w:rFonts w:hint="default" w:eastAsia="Times New Roman" w:cs="Times New Roman"/>
        <w:b/>
      </w:rPr>
    </w:lvl>
    <w:lvl w:ilvl="4">
      <w:start w:val="1"/>
      <w:numFmt w:val="decimal"/>
      <w:lvlText w:val="%1.%2.%3.%4.%5"/>
      <w:lvlJc w:val="left"/>
      <w:pPr>
        <w:ind w:left="1080" w:hanging="1080"/>
      </w:pPr>
      <w:rPr>
        <w:rFonts w:hint="default" w:eastAsia="Times New Roman" w:cs="Times New Roman"/>
        <w:b/>
      </w:rPr>
    </w:lvl>
    <w:lvl w:ilvl="5">
      <w:start w:val="1"/>
      <w:numFmt w:val="decimal"/>
      <w:lvlText w:val="%1.%2.%3.%4.%5.%6"/>
      <w:lvlJc w:val="left"/>
      <w:pPr>
        <w:ind w:left="1080" w:hanging="1080"/>
      </w:pPr>
      <w:rPr>
        <w:rFonts w:hint="default" w:eastAsia="Times New Roman" w:cs="Times New Roman"/>
        <w:b/>
      </w:rPr>
    </w:lvl>
    <w:lvl w:ilvl="6">
      <w:start w:val="1"/>
      <w:numFmt w:val="decimal"/>
      <w:lvlText w:val="%1.%2.%3.%4.%5.%6.%7"/>
      <w:lvlJc w:val="left"/>
      <w:pPr>
        <w:ind w:left="1440" w:hanging="1440"/>
      </w:pPr>
      <w:rPr>
        <w:rFonts w:hint="default" w:eastAsia="Times New Roman" w:cs="Times New Roman"/>
        <w:b/>
      </w:rPr>
    </w:lvl>
    <w:lvl w:ilvl="7">
      <w:start w:val="1"/>
      <w:numFmt w:val="decimal"/>
      <w:lvlText w:val="%1.%2.%3.%4.%5.%6.%7.%8"/>
      <w:lvlJc w:val="left"/>
      <w:pPr>
        <w:ind w:left="1440" w:hanging="1440"/>
      </w:pPr>
      <w:rPr>
        <w:rFonts w:hint="default" w:eastAsia="Times New Roman" w:cs="Times New Roman"/>
        <w:b/>
      </w:rPr>
    </w:lvl>
    <w:lvl w:ilvl="8">
      <w:start w:val="1"/>
      <w:numFmt w:val="decimal"/>
      <w:lvlText w:val="%1.%2.%3.%4.%5.%6.%7.%8.%9"/>
      <w:lvlJc w:val="left"/>
      <w:pPr>
        <w:ind w:left="1440" w:hanging="1440"/>
      </w:pPr>
      <w:rPr>
        <w:rFonts w:hint="default" w:eastAsia="Times New Roman" w:cs="Times New Roman"/>
        <w:b/>
      </w:rPr>
    </w:lvl>
  </w:abstractNum>
  <w:abstractNum w:abstractNumId="10" w15:restartNumberingAfterBreak="0">
    <w:nsid w:val="4C6B6F0A"/>
    <w:multiLevelType w:val="multilevel"/>
    <w:tmpl w:val="36AE0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087109C"/>
    <w:multiLevelType w:val="multilevel"/>
    <w:tmpl w:val="CB8AF2CC"/>
    <w:styleLink w:val="CurrentList3"/>
    <w:lvl w:ilvl="0">
      <w:start w:val="1"/>
      <w:numFmt w:val="decimal"/>
      <w:lvlText w:val="2.6.2.%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A7551F"/>
    <w:multiLevelType w:val="hybridMultilevel"/>
    <w:tmpl w:val="6A4C726C"/>
    <w:lvl w:ilvl="0" w:tplc="DA06BB8A">
      <w:start w:val="1"/>
      <w:numFmt w:val="bullet"/>
      <w:lvlText w:val="•"/>
      <w:lvlJc w:val="left"/>
      <w:pPr>
        <w:ind w:left="1800" w:hanging="360"/>
      </w:pPr>
      <w:rPr>
        <w:rFonts w:hint="default" w:ascii="Arial" w:hAnsi="Aria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3" w15:restartNumberingAfterBreak="0">
    <w:nsid w:val="5C531643"/>
    <w:multiLevelType w:val="multilevel"/>
    <w:tmpl w:val="6BFE6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3283816"/>
    <w:multiLevelType w:val="hybridMultilevel"/>
    <w:tmpl w:val="AEFA1E2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176A8D"/>
    <w:multiLevelType w:val="hybridMultilevel"/>
    <w:tmpl w:val="CB46DA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A7B40CE"/>
    <w:multiLevelType w:val="hybridMultilevel"/>
    <w:tmpl w:val="59B6FF66"/>
    <w:lvl w:ilvl="0" w:tplc="F648B5FC">
      <w:start w:val="1"/>
      <w:numFmt w:val="decimal"/>
      <w:lvlText w:val="2.7.%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7" w15:restartNumberingAfterBreak="0">
    <w:nsid w:val="6B5B4F98"/>
    <w:multiLevelType w:val="hybridMultilevel"/>
    <w:tmpl w:val="824ACA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B84756D"/>
    <w:multiLevelType w:val="multilevel"/>
    <w:tmpl w:val="D3D2A410"/>
    <w:styleLink w:val="CurrentList4"/>
    <w:lvl w:ilvl="0">
      <w:start w:val="1"/>
      <w:numFmt w:val="decimal"/>
      <w:lvlText w:val="2.6.3.%1."/>
      <w:lvlJc w:val="left"/>
      <w:pPr>
        <w:ind w:left="360" w:hanging="360"/>
      </w:pPr>
      <w:rPr>
        <w:rFonts w:hint="default"/>
        <w:i w:val="0"/>
        <w:iCs w:val="0"/>
      </w:rPr>
    </w:lvl>
    <w:lvl w:ilvl="1">
      <w:start w:val="1"/>
      <w:numFmt w:val="bullet"/>
      <w:lvlText w:val="o"/>
      <w:lvlJc w:val="left"/>
      <w:pPr>
        <w:ind w:left="1080" w:hanging="360"/>
      </w:pPr>
      <w:rPr>
        <w:rFonts w:hint="default"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BF3C67"/>
    <w:multiLevelType w:val="hybridMultilevel"/>
    <w:tmpl w:val="EFAC17E8"/>
    <w:lvl w:ilvl="0" w:tplc="50067C20">
      <w:start w:val="16"/>
      <w:numFmt w:val="bullet"/>
      <w:lvlText w:val=""/>
      <w:lvlJc w:val="left"/>
      <w:pPr>
        <w:ind w:left="1003" w:hanging="360"/>
      </w:pPr>
      <w:rPr>
        <w:rFonts w:hint="default" w:ascii="Symbol" w:hAnsi="Symbol" w:cs="Times New Roman" w:eastAsiaTheme="minorHAnsi"/>
        <w:color w:val="auto"/>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0" w15:restartNumberingAfterBreak="0">
    <w:nsid w:val="76FE3BB0"/>
    <w:multiLevelType w:val="multilevel"/>
    <w:tmpl w:val="3418F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78244327">
    <w:abstractNumId w:val="9"/>
  </w:num>
  <w:num w:numId="2" w16cid:durableId="728921670">
    <w:abstractNumId w:val="15"/>
  </w:num>
  <w:num w:numId="3" w16cid:durableId="1667132344">
    <w:abstractNumId w:val="2"/>
  </w:num>
  <w:num w:numId="4" w16cid:durableId="2003000489">
    <w:abstractNumId w:val="17"/>
  </w:num>
  <w:num w:numId="5" w16cid:durableId="464197895">
    <w:abstractNumId w:val="5"/>
  </w:num>
  <w:num w:numId="6" w16cid:durableId="1595894465">
    <w:abstractNumId w:val="16"/>
  </w:num>
  <w:num w:numId="7" w16cid:durableId="1426876574">
    <w:abstractNumId w:val="12"/>
  </w:num>
  <w:num w:numId="8" w16cid:durableId="1724912512">
    <w:abstractNumId w:val="3"/>
  </w:num>
  <w:num w:numId="9" w16cid:durableId="122165369">
    <w:abstractNumId w:val="19"/>
  </w:num>
  <w:num w:numId="10" w16cid:durableId="1550264811">
    <w:abstractNumId w:val="6"/>
  </w:num>
  <w:num w:numId="11" w16cid:durableId="1529368632">
    <w:abstractNumId w:val="8"/>
  </w:num>
  <w:num w:numId="12" w16cid:durableId="1653826026">
    <w:abstractNumId w:val="11"/>
  </w:num>
  <w:num w:numId="13" w16cid:durableId="723065775">
    <w:abstractNumId w:val="18"/>
  </w:num>
  <w:num w:numId="14" w16cid:durableId="1404838414">
    <w:abstractNumId w:val="7"/>
  </w:num>
  <w:num w:numId="15" w16cid:durableId="798258175">
    <w:abstractNumId w:val="0"/>
  </w:num>
  <w:num w:numId="16" w16cid:durableId="1539127064">
    <w:abstractNumId w:val="14"/>
  </w:num>
  <w:num w:numId="17" w16cid:durableId="1465195321">
    <w:abstractNumId w:val="20"/>
  </w:num>
  <w:num w:numId="18" w16cid:durableId="205988747">
    <w:abstractNumId w:val="4"/>
  </w:num>
  <w:num w:numId="19" w16cid:durableId="1453746283">
    <w:abstractNumId w:val="10"/>
  </w:num>
  <w:num w:numId="20" w16cid:durableId="1347976986">
    <w:abstractNumId w:val="13"/>
  </w:num>
  <w:num w:numId="21" w16cid:durableId="1122260397">
    <w:abstractNumId w:val="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z59pvfoxvewle2ee8xrwt2292evzwdsrse&quot;&gt;Malaria-Converted Sep 2021&lt;record-ids&gt;&lt;item&gt;15&lt;/item&gt;&lt;item&gt;19&lt;/item&gt;&lt;item&gt;56&lt;/item&gt;&lt;item&gt;57&lt;/item&gt;&lt;item&gt;60&lt;/item&gt;&lt;item&gt;66&lt;/item&gt;&lt;item&gt;68&lt;/item&gt;&lt;item&gt;96&lt;/item&gt;&lt;item&gt;1628&lt;/item&gt;&lt;item&gt;1703&lt;/item&gt;&lt;item&gt;1736&lt;/item&gt;&lt;item&gt;1737&lt;/item&gt;&lt;item&gt;1739&lt;/item&gt;&lt;item&gt;1744&lt;/item&gt;&lt;item&gt;1745&lt;/item&gt;&lt;item&gt;1750&lt;/item&gt;&lt;/record-ids&gt;&lt;/item&gt;&lt;/Libraries&gt;"/>
  </w:docVars>
  <w:rsids>
    <w:rsidRoot w:val="00457F3C"/>
    <w:rsid w:val="000009B4"/>
    <w:rsid w:val="00000BDF"/>
    <w:rsid w:val="000023FF"/>
    <w:rsid w:val="00002682"/>
    <w:rsid w:val="00003DB0"/>
    <w:rsid w:val="00004844"/>
    <w:rsid w:val="0000517D"/>
    <w:rsid w:val="00006D75"/>
    <w:rsid w:val="000070BB"/>
    <w:rsid w:val="00007153"/>
    <w:rsid w:val="0001029C"/>
    <w:rsid w:val="00010BA1"/>
    <w:rsid w:val="000117F0"/>
    <w:rsid w:val="00013E7E"/>
    <w:rsid w:val="0001790B"/>
    <w:rsid w:val="0002560E"/>
    <w:rsid w:val="0003058E"/>
    <w:rsid w:val="00030C9B"/>
    <w:rsid w:val="0003257D"/>
    <w:rsid w:val="00034739"/>
    <w:rsid w:val="0003505B"/>
    <w:rsid w:val="00035987"/>
    <w:rsid w:val="00035BDD"/>
    <w:rsid w:val="00036737"/>
    <w:rsid w:val="00040E2A"/>
    <w:rsid w:val="00040F96"/>
    <w:rsid w:val="00040FD2"/>
    <w:rsid w:val="0004154E"/>
    <w:rsid w:val="00044553"/>
    <w:rsid w:val="00045ECF"/>
    <w:rsid w:val="00047264"/>
    <w:rsid w:val="000477D8"/>
    <w:rsid w:val="00047B16"/>
    <w:rsid w:val="000503C4"/>
    <w:rsid w:val="00054167"/>
    <w:rsid w:val="00055B41"/>
    <w:rsid w:val="00061852"/>
    <w:rsid w:val="00061F72"/>
    <w:rsid w:val="0006287D"/>
    <w:rsid w:val="00064D4D"/>
    <w:rsid w:val="00065264"/>
    <w:rsid w:val="0006549A"/>
    <w:rsid w:val="0006696E"/>
    <w:rsid w:val="00067E3C"/>
    <w:rsid w:val="00071103"/>
    <w:rsid w:val="00072E96"/>
    <w:rsid w:val="000733D2"/>
    <w:rsid w:val="00073647"/>
    <w:rsid w:val="00073C05"/>
    <w:rsid w:val="000747E6"/>
    <w:rsid w:val="00080155"/>
    <w:rsid w:val="00082031"/>
    <w:rsid w:val="000844A8"/>
    <w:rsid w:val="00085399"/>
    <w:rsid w:val="00085C0F"/>
    <w:rsid w:val="000865C8"/>
    <w:rsid w:val="00086E24"/>
    <w:rsid w:val="00092071"/>
    <w:rsid w:val="00092171"/>
    <w:rsid w:val="0009312B"/>
    <w:rsid w:val="00093179"/>
    <w:rsid w:val="00094AD7"/>
    <w:rsid w:val="00096443"/>
    <w:rsid w:val="00096BEF"/>
    <w:rsid w:val="00096F47"/>
    <w:rsid w:val="000A016E"/>
    <w:rsid w:val="000A25E3"/>
    <w:rsid w:val="000A3830"/>
    <w:rsid w:val="000A4D73"/>
    <w:rsid w:val="000A592F"/>
    <w:rsid w:val="000A744B"/>
    <w:rsid w:val="000B04DC"/>
    <w:rsid w:val="000B08B1"/>
    <w:rsid w:val="000B13B0"/>
    <w:rsid w:val="000B17A8"/>
    <w:rsid w:val="000B1D0A"/>
    <w:rsid w:val="000B6EB9"/>
    <w:rsid w:val="000B7321"/>
    <w:rsid w:val="000C1FF0"/>
    <w:rsid w:val="000C5EC7"/>
    <w:rsid w:val="000C5FB7"/>
    <w:rsid w:val="000C7247"/>
    <w:rsid w:val="000D0300"/>
    <w:rsid w:val="000D1A5F"/>
    <w:rsid w:val="000D5540"/>
    <w:rsid w:val="000D61EE"/>
    <w:rsid w:val="000D61F4"/>
    <w:rsid w:val="000E32A1"/>
    <w:rsid w:val="000E34D0"/>
    <w:rsid w:val="000E50C6"/>
    <w:rsid w:val="000F3360"/>
    <w:rsid w:val="000F3D3F"/>
    <w:rsid w:val="000F3D8E"/>
    <w:rsid w:val="000F76CD"/>
    <w:rsid w:val="00101BDD"/>
    <w:rsid w:val="00102DCB"/>
    <w:rsid w:val="00103807"/>
    <w:rsid w:val="00105EE3"/>
    <w:rsid w:val="00106FA7"/>
    <w:rsid w:val="00110DFD"/>
    <w:rsid w:val="00112603"/>
    <w:rsid w:val="001127F3"/>
    <w:rsid w:val="00114DB5"/>
    <w:rsid w:val="001164E0"/>
    <w:rsid w:val="00121252"/>
    <w:rsid w:val="00122FA5"/>
    <w:rsid w:val="00123492"/>
    <w:rsid w:val="0012488C"/>
    <w:rsid w:val="00130410"/>
    <w:rsid w:val="00133817"/>
    <w:rsid w:val="00136CBE"/>
    <w:rsid w:val="00137252"/>
    <w:rsid w:val="00137397"/>
    <w:rsid w:val="00140EFE"/>
    <w:rsid w:val="00141521"/>
    <w:rsid w:val="00141569"/>
    <w:rsid w:val="00142FF7"/>
    <w:rsid w:val="00153448"/>
    <w:rsid w:val="001537FE"/>
    <w:rsid w:val="0015650B"/>
    <w:rsid w:val="00157E87"/>
    <w:rsid w:val="00160ABD"/>
    <w:rsid w:val="00160BB3"/>
    <w:rsid w:val="0016248D"/>
    <w:rsid w:val="001645E2"/>
    <w:rsid w:val="00165A89"/>
    <w:rsid w:val="00170193"/>
    <w:rsid w:val="00171619"/>
    <w:rsid w:val="001736BB"/>
    <w:rsid w:val="001773A3"/>
    <w:rsid w:val="00183C11"/>
    <w:rsid w:val="00183DC7"/>
    <w:rsid w:val="00193272"/>
    <w:rsid w:val="0019688C"/>
    <w:rsid w:val="00197E77"/>
    <w:rsid w:val="00197FCA"/>
    <w:rsid w:val="001A0AC4"/>
    <w:rsid w:val="001A2D9D"/>
    <w:rsid w:val="001A42B0"/>
    <w:rsid w:val="001A5446"/>
    <w:rsid w:val="001A5635"/>
    <w:rsid w:val="001A725B"/>
    <w:rsid w:val="001B07A8"/>
    <w:rsid w:val="001B2DBC"/>
    <w:rsid w:val="001B55EC"/>
    <w:rsid w:val="001B5781"/>
    <w:rsid w:val="001B63C5"/>
    <w:rsid w:val="001B7669"/>
    <w:rsid w:val="001C2BCB"/>
    <w:rsid w:val="001D35F7"/>
    <w:rsid w:val="001D3640"/>
    <w:rsid w:val="001D418A"/>
    <w:rsid w:val="001D4CD2"/>
    <w:rsid w:val="001D51F9"/>
    <w:rsid w:val="001D5433"/>
    <w:rsid w:val="001D7234"/>
    <w:rsid w:val="001E0AEF"/>
    <w:rsid w:val="001E0EA0"/>
    <w:rsid w:val="001E1949"/>
    <w:rsid w:val="001E1F1D"/>
    <w:rsid w:val="001E2BB5"/>
    <w:rsid w:val="001E52A1"/>
    <w:rsid w:val="001E6DE1"/>
    <w:rsid w:val="001E75BB"/>
    <w:rsid w:val="001F05B4"/>
    <w:rsid w:val="001F0E21"/>
    <w:rsid w:val="001F4CF6"/>
    <w:rsid w:val="001F5BB1"/>
    <w:rsid w:val="0020213A"/>
    <w:rsid w:val="0020405B"/>
    <w:rsid w:val="002055CB"/>
    <w:rsid w:val="00207963"/>
    <w:rsid w:val="002079BC"/>
    <w:rsid w:val="002114EC"/>
    <w:rsid w:val="00212016"/>
    <w:rsid w:val="002144F9"/>
    <w:rsid w:val="00214835"/>
    <w:rsid w:val="0021519A"/>
    <w:rsid w:val="0021564A"/>
    <w:rsid w:val="0021605C"/>
    <w:rsid w:val="002165AA"/>
    <w:rsid w:val="00217D40"/>
    <w:rsid w:val="0022277F"/>
    <w:rsid w:val="00225509"/>
    <w:rsid w:val="002302DB"/>
    <w:rsid w:val="002311A1"/>
    <w:rsid w:val="002316D8"/>
    <w:rsid w:val="002328EE"/>
    <w:rsid w:val="002330F9"/>
    <w:rsid w:val="00234D45"/>
    <w:rsid w:val="002359FB"/>
    <w:rsid w:val="00236933"/>
    <w:rsid w:val="00237863"/>
    <w:rsid w:val="002429CA"/>
    <w:rsid w:val="002434A3"/>
    <w:rsid w:val="002456CC"/>
    <w:rsid w:val="002458B5"/>
    <w:rsid w:val="0024613E"/>
    <w:rsid w:val="00247964"/>
    <w:rsid w:val="00250A6A"/>
    <w:rsid w:val="00253486"/>
    <w:rsid w:val="00253BD9"/>
    <w:rsid w:val="002563C0"/>
    <w:rsid w:val="00257A3B"/>
    <w:rsid w:val="00260B80"/>
    <w:rsid w:val="00262784"/>
    <w:rsid w:val="00270FDB"/>
    <w:rsid w:val="00273E5A"/>
    <w:rsid w:val="0028106F"/>
    <w:rsid w:val="002827A9"/>
    <w:rsid w:val="0028398B"/>
    <w:rsid w:val="002862BD"/>
    <w:rsid w:val="00287DFB"/>
    <w:rsid w:val="002929F1"/>
    <w:rsid w:val="00294ED5"/>
    <w:rsid w:val="00295024"/>
    <w:rsid w:val="00295B50"/>
    <w:rsid w:val="00295D2A"/>
    <w:rsid w:val="00296A43"/>
    <w:rsid w:val="002A20CF"/>
    <w:rsid w:val="002A2264"/>
    <w:rsid w:val="002A3350"/>
    <w:rsid w:val="002A7E33"/>
    <w:rsid w:val="002B079F"/>
    <w:rsid w:val="002B0AC2"/>
    <w:rsid w:val="002B158B"/>
    <w:rsid w:val="002B4DBD"/>
    <w:rsid w:val="002B693D"/>
    <w:rsid w:val="002C4DDF"/>
    <w:rsid w:val="002C5A80"/>
    <w:rsid w:val="002C6ED5"/>
    <w:rsid w:val="002D3B24"/>
    <w:rsid w:val="002D460B"/>
    <w:rsid w:val="002D66AA"/>
    <w:rsid w:val="002E0AFD"/>
    <w:rsid w:val="002E48E8"/>
    <w:rsid w:val="002F28A3"/>
    <w:rsid w:val="002F2C9A"/>
    <w:rsid w:val="002F2EAC"/>
    <w:rsid w:val="002F4D8D"/>
    <w:rsid w:val="003001B5"/>
    <w:rsid w:val="00300A67"/>
    <w:rsid w:val="003022D6"/>
    <w:rsid w:val="00303AE5"/>
    <w:rsid w:val="00304F00"/>
    <w:rsid w:val="0031057B"/>
    <w:rsid w:val="00312C79"/>
    <w:rsid w:val="00313EBD"/>
    <w:rsid w:val="0032105D"/>
    <w:rsid w:val="003227CF"/>
    <w:rsid w:val="00325A0B"/>
    <w:rsid w:val="00330515"/>
    <w:rsid w:val="00331FE8"/>
    <w:rsid w:val="00333266"/>
    <w:rsid w:val="00334BD2"/>
    <w:rsid w:val="00335844"/>
    <w:rsid w:val="00336EE8"/>
    <w:rsid w:val="00340B9C"/>
    <w:rsid w:val="003416B5"/>
    <w:rsid w:val="003424A1"/>
    <w:rsid w:val="00342E0F"/>
    <w:rsid w:val="00343902"/>
    <w:rsid w:val="003445EF"/>
    <w:rsid w:val="0034531D"/>
    <w:rsid w:val="00350185"/>
    <w:rsid w:val="0035090D"/>
    <w:rsid w:val="00354D73"/>
    <w:rsid w:val="00355411"/>
    <w:rsid w:val="00357A93"/>
    <w:rsid w:val="00363D1E"/>
    <w:rsid w:val="00364C5B"/>
    <w:rsid w:val="00367A78"/>
    <w:rsid w:val="003716D3"/>
    <w:rsid w:val="00373C74"/>
    <w:rsid w:val="00373CF5"/>
    <w:rsid w:val="00374EA7"/>
    <w:rsid w:val="003800D8"/>
    <w:rsid w:val="00381816"/>
    <w:rsid w:val="003827E6"/>
    <w:rsid w:val="00385715"/>
    <w:rsid w:val="003870AF"/>
    <w:rsid w:val="00387FFE"/>
    <w:rsid w:val="00391037"/>
    <w:rsid w:val="00391EB6"/>
    <w:rsid w:val="003960E6"/>
    <w:rsid w:val="003968F1"/>
    <w:rsid w:val="003974CE"/>
    <w:rsid w:val="00397BC1"/>
    <w:rsid w:val="003A2DDE"/>
    <w:rsid w:val="003A38AF"/>
    <w:rsid w:val="003A555E"/>
    <w:rsid w:val="003A5E72"/>
    <w:rsid w:val="003A68ED"/>
    <w:rsid w:val="003B628D"/>
    <w:rsid w:val="003B6B91"/>
    <w:rsid w:val="003C3CA5"/>
    <w:rsid w:val="003C539A"/>
    <w:rsid w:val="003C56AB"/>
    <w:rsid w:val="003C67A5"/>
    <w:rsid w:val="003C6CC2"/>
    <w:rsid w:val="003D0D08"/>
    <w:rsid w:val="003D7023"/>
    <w:rsid w:val="003D7242"/>
    <w:rsid w:val="003D7340"/>
    <w:rsid w:val="003E3B31"/>
    <w:rsid w:val="003E492C"/>
    <w:rsid w:val="003E4D2D"/>
    <w:rsid w:val="003E7D86"/>
    <w:rsid w:val="003F0C21"/>
    <w:rsid w:val="003F17C1"/>
    <w:rsid w:val="003F5A18"/>
    <w:rsid w:val="003F6602"/>
    <w:rsid w:val="0040129D"/>
    <w:rsid w:val="00404945"/>
    <w:rsid w:val="00405B12"/>
    <w:rsid w:val="0040681B"/>
    <w:rsid w:val="004076A5"/>
    <w:rsid w:val="00407A29"/>
    <w:rsid w:val="00410364"/>
    <w:rsid w:val="004105EE"/>
    <w:rsid w:val="004133FE"/>
    <w:rsid w:val="0041682F"/>
    <w:rsid w:val="00417928"/>
    <w:rsid w:val="004231E3"/>
    <w:rsid w:val="00423A8C"/>
    <w:rsid w:val="004245C5"/>
    <w:rsid w:val="00425BC9"/>
    <w:rsid w:val="00427449"/>
    <w:rsid w:val="00427EBA"/>
    <w:rsid w:val="004317E2"/>
    <w:rsid w:val="00432E1B"/>
    <w:rsid w:val="004336F3"/>
    <w:rsid w:val="00433905"/>
    <w:rsid w:val="004345DB"/>
    <w:rsid w:val="004361D4"/>
    <w:rsid w:val="0043639F"/>
    <w:rsid w:val="004408B2"/>
    <w:rsid w:val="004408D1"/>
    <w:rsid w:val="004440BF"/>
    <w:rsid w:val="00445E6B"/>
    <w:rsid w:val="00454D4E"/>
    <w:rsid w:val="00455404"/>
    <w:rsid w:val="004567C1"/>
    <w:rsid w:val="00457F3C"/>
    <w:rsid w:val="00467E3B"/>
    <w:rsid w:val="00474BE3"/>
    <w:rsid w:val="00474BFD"/>
    <w:rsid w:val="004754D6"/>
    <w:rsid w:val="00475C8C"/>
    <w:rsid w:val="00480837"/>
    <w:rsid w:val="00486ACF"/>
    <w:rsid w:val="00486F84"/>
    <w:rsid w:val="0048744C"/>
    <w:rsid w:val="004910BB"/>
    <w:rsid w:val="004911E3"/>
    <w:rsid w:val="004917BB"/>
    <w:rsid w:val="004924B7"/>
    <w:rsid w:val="00493C31"/>
    <w:rsid w:val="004950CE"/>
    <w:rsid w:val="00495DAC"/>
    <w:rsid w:val="004966BF"/>
    <w:rsid w:val="00497D76"/>
    <w:rsid w:val="004A14F0"/>
    <w:rsid w:val="004A247E"/>
    <w:rsid w:val="004A45A3"/>
    <w:rsid w:val="004A52BD"/>
    <w:rsid w:val="004A6D76"/>
    <w:rsid w:val="004B01F6"/>
    <w:rsid w:val="004C090D"/>
    <w:rsid w:val="004C1426"/>
    <w:rsid w:val="004C2D5D"/>
    <w:rsid w:val="004C3188"/>
    <w:rsid w:val="004C3C98"/>
    <w:rsid w:val="004C5903"/>
    <w:rsid w:val="004C596D"/>
    <w:rsid w:val="004C7C89"/>
    <w:rsid w:val="004D221E"/>
    <w:rsid w:val="004D27AF"/>
    <w:rsid w:val="004D2A11"/>
    <w:rsid w:val="004D383D"/>
    <w:rsid w:val="004D4661"/>
    <w:rsid w:val="004E11E4"/>
    <w:rsid w:val="004E1837"/>
    <w:rsid w:val="004E1E3A"/>
    <w:rsid w:val="004E403E"/>
    <w:rsid w:val="004E457B"/>
    <w:rsid w:val="004E4BE7"/>
    <w:rsid w:val="004E63C6"/>
    <w:rsid w:val="004F0953"/>
    <w:rsid w:val="004F1473"/>
    <w:rsid w:val="004F7690"/>
    <w:rsid w:val="00505C55"/>
    <w:rsid w:val="00507033"/>
    <w:rsid w:val="00507077"/>
    <w:rsid w:val="00507C7E"/>
    <w:rsid w:val="00513225"/>
    <w:rsid w:val="005133DC"/>
    <w:rsid w:val="00514576"/>
    <w:rsid w:val="00515748"/>
    <w:rsid w:val="00515DF3"/>
    <w:rsid w:val="00516FE2"/>
    <w:rsid w:val="00520C01"/>
    <w:rsid w:val="005217B4"/>
    <w:rsid w:val="00521FEE"/>
    <w:rsid w:val="00522ABF"/>
    <w:rsid w:val="005250CA"/>
    <w:rsid w:val="005250F6"/>
    <w:rsid w:val="0052595B"/>
    <w:rsid w:val="005301E7"/>
    <w:rsid w:val="005305D3"/>
    <w:rsid w:val="00531CDC"/>
    <w:rsid w:val="00532857"/>
    <w:rsid w:val="00533CAE"/>
    <w:rsid w:val="00535438"/>
    <w:rsid w:val="005458DF"/>
    <w:rsid w:val="00546091"/>
    <w:rsid w:val="00547B96"/>
    <w:rsid w:val="005504E6"/>
    <w:rsid w:val="00550EA8"/>
    <w:rsid w:val="005521CB"/>
    <w:rsid w:val="00553E38"/>
    <w:rsid w:val="00554A13"/>
    <w:rsid w:val="00554FB1"/>
    <w:rsid w:val="00555FE7"/>
    <w:rsid w:val="00560012"/>
    <w:rsid w:val="00564FD4"/>
    <w:rsid w:val="005654D5"/>
    <w:rsid w:val="00565951"/>
    <w:rsid w:val="00566650"/>
    <w:rsid w:val="00567CAE"/>
    <w:rsid w:val="00571F3F"/>
    <w:rsid w:val="005735B9"/>
    <w:rsid w:val="005762E4"/>
    <w:rsid w:val="005802DC"/>
    <w:rsid w:val="00580385"/>
    <w:rsid w:val="00581453"/>
    <w:rsid w:val="00582092"/>
    <w:rsid w:val="005843F9"/>
    <w:rsid w:val="0058490F"/>
    <w:rsid w:val="00585C91"/>
    <w:rsid w:val="00587D7D"/>
    <w:rsid w:val="0059015A"/>
    <w:rsid w:val="00590BF8"/>
    <w:rsid w:val="00592738"/>
    <w:rsid w:val="00594182"/>
    <w:rsid w:val="0059470A"/>
    <w:rsid w:val="005953A9"/>
    <w:rsid w:val="00595ACC"/>
    <w:rsid w:val="00596AAB"/>
    <w:rsid w:val="0059774E"/>
    <w:rsid w:val="00597F2F"/>
    <w:rsid w:val="005A0BED"/>
    <w:rsid w:val="005A17F7"/>
    <w:rsid w:val="005A43CA"/>
    <w:rsid w:val="005A7402"/>
    <w:rsid w:val="005A791B"/>
    <w:rsid w:val="005B03C5"/>
    <w:rsid w:val="005B0F6D"/>
    <w:rsid w:val="005B19A5"/>
    <w:rsid w:val="005B247B"/>
    <w:rsid w:val="005B2EE5"/>
    <w:rsid w:val="005B368D"/>
    <w:rsid w:val="005B37A7"/>
    <w:rsid w:val="005B3E3A"/>
    <w:rsid w:val="005B7192"/>
    <w:rsid w:val="005C4BBD"/>
    <w:rsid w:val="005C52E3"/>
    <w:rsid w:val="005C783C"/>
    <w:rsid w:val="005D027B"/>
    <w:rsid w:val="005D0F97"/>
    <w:rsid w:val="005D2567"/>
    <w:rsid w:val="005D3CF8"/>
    <w:rsid w:val="005D438A"/>
    <w:rsid w:val="005D60C9"/>
    <w:rsid w:val="005D6863"/>
    <w:rsid w:val="005D697C"/>
    <w:rsid w:val="005D6BEC"/>
    <w:rsid w:val="005E0647"/>
    <w:rsid w:val="005E29FA"/>
    <w:rsid w:val="005F0330"/>
    <w:rsid w:val="005F2076"/>
    <w:rsid w:val="005F2A67"/>
    <w:rsid w:val="005F2C14"/>
    <w:rsid w:val="005F434C"/>
    <w:rsid w:val="006005D5"/>
    <w:rsid w:val="00600822"/>
    <w:rsid w:val="00601CD5"/>
    <w:rsid w:val="00603832"/>
    <w:rsid w:val="00605380"/>
    <w:rsid w:val="006057EE"/>
    <w:rsid w:val="00606086"/>
    <w:rsid w:val="006143E8"/>
    <w:rsid w:val="00614E11"/>
    <w:rsid w:val="0061770D"/>
    <w:rsid w:val="00617E08"/>
    <w:rsid w:val="00626A1D"/>
    <w:rsid w:val="00627CF6"/>
    <w:rsid w:val="00632885"/>
    <w:rsid w:val="00636D45"/>
    <w:rsid w:val="00637EC2"/>
    <w:rsid w:val="006416A6"/>
    <w:rsid w:val="006418E1"/>
    <w:rsid w:val="00643887"/>
    <w:rsid w:val="00643B30"/>
    <w:rsid w:val="0064732E"/>
    <w:rsid w:val="006503CF"/>
    <w:rsid w:val="00651B4A"/>
    <w:rsid w:val="00652843"/>
    <w:rsid w:val="00660B35"/>
    <w:rsid w:val="00661E24"/>
    <w:rsid w:val="006621B9"/>
    <w:rsid w:val="00673833"/>
    <w:rsid w:val="0067556C"/>
    <w:rsid w:val="0067609B"/>
    <w:rsid w:val="00680F54"/>
    <w:rsid w:val="00681206"/>
    <w:rsid w:val="00682569"/>
    <w:rsid w:val="006858BC"/>
    <w:rsid w:val="00685B06"/>
    <w:rsid w:val="00687C39"/>
    <w:rsid w:val="00693951"/>
    <w:rsid w:val="00694FD0"/>
    <w:rsid w:val="00697776"/>
    <w:rsid w:val="00697CAA"/>
    <w:rsid w:val="006A2BEA"/>
    <w:rsid w:val="006A7BDA"/>
    <w:rsid w:val="006B1CBE"/>
    <w:rsid w:val="006B1CCA"/>
    <w:rsid w:val="006B1F72"/>
    <w:rsid w:val="006B3406"/>
    <w:rsid w:val="006B65A7"/>
    <w:rsid w:val="006C29A4"/>
    <w:rsid w:val="006C36DA"/>
    <w:rsid w:val="006C5A77"/>
    <w:rsid w:val="006C5BCF"/>
    <w:rsid w:val="006C688A"/>
    <w:rsid w:val="006C750B"/>
    <w:rsid w:val="006C78CF"/>
    <w:rsid w:val="006C7F77"/>
    <w:rsid w:val="006D0481"/>
    <w:rsid w:val="006D360B"/>
    <w:rsid w:val="006D4CA9"/>
    <w:rsid w:val="006D6B50"/>
    <w:rsid w:val="006D7514"/>
    <w:rsid w:val="006E2853"/>
    <w:rsid w:val="006E30A7"/>
    <w:rsid w:val="006E4691"/>
    <w:rsid w:val="006F51D8"/>
    <w:rsid w:val="007008E6"/>
    <w:rsid w:val="00700DEE"/>
    <w:rsid w:val="007042CE"/>
    <w:rsid w:val="00704342"/>
    <w:rsid w:val="00714681"/>
    <w:rsid w:val="00720F20"/>
    <w:rsid w:val="00721049"/>
    <w:rsid w:val="00721BA5"/>
    <w:rsid w:val="00723D14"/>
    <w:rsid w:val="007318B2"/>
    <w:rsid w:val="007354A2"/>
    <w:rsid w:val="00737A9C"/>
    <w:rsid w:val="00740EB2"/>
    <w:rsid w:val="00742AD0"/>
    <w:rsid w:val="00743C1D"/>
    <w:rsid w:val="007461AA"/>
    <w:rsid w:val="007468FD"/>
    <w:rsid w:val="00746A96"/>
    <w:rsid w:val="00752B26"/>
    <w:rsid w:val="00754157"/>
    <w:rsid w:val="007546A4"/>
    <w:rsid w:val="00755A4C"/>
    <w:rsid w:val="00756CFF"/>
    <w:rsid w:val="00761267"/>
    <w:rsid w:val="00762536"/>
    <w:rsid w:val="00765E02"/>
    <w:rsid w:val="00773D4E"/>
    <w:rsid w:val="007765DF"/>
    <w:rsid w:val="00777FD8"/>
    <w:rsid w:val="00781115"/>
    <w:rsid w:val="0078408D"/>
    <w:rsid w:val="0078431C"/>
    <w:rsid w:val="007853A0"/>
    <w:rsid w:val="0078687E"/>
    <w:rsid w:val="00786CA0"/>
    <w:rsid w:val="00787C61"/>
    <w:rsid w:val="00791405"/>
    <w:rsid w:val="00793FC4"/>
    <w:rsid w:val="00796D82"/>
    <w:rsid w:val="00797528"/>
    <w:rsid w:val="007A079E"/>
    <w:rsid w:val="007A3263"/>
    <w:rsid w:val="007A3C77"/>
    <w:rsid w:val="007A3F89"/>
    <w:rsid w:val="007A403C"/>
    <w:rsid w:val="007A41C6"/>
    <w:rsid w:val="007A4369"/>
    <w:rsid w:val="007A6F6B"/>
    <w:rsid w:val="007B0648"/>
    <w:rsid w:val="007B2A7D"/>
    <w:rsid w:val="007B2D04"/>
    <w:rsid w:val="007B2FD5"/>
    <w:rsid w:val="007B683C"/>
    <w:rsid w:val="007B7A59"/>
    <w:rsid w:val="007B7A5D"/>
    <w:rsid w:val="007B7B50"/>
    <w:rsid w:val="007C0882"/>
    <w:rsid w:val="007C36BF"/>
    <w:rsid w:val="007C6BC1"/>
    <w:rsid w:val="007D33A3"/>
    <w:rsid w:val="007D36F4"/>
    <w:rsid w:val="007D6B8A"/>
    <w:rsid w:val="007E084F"/>
    <w:rsid w:val="007E261E"/>
    <w:rsid w:val="007E2D1C"/>
    <w:rsid w:val="007E2F71"/>
    <w:rsid w:val="007F0EB5"/>
    <w:rsid w:val="007F24CF"/>
    <w:rsid w:val="007F61D6"/>
    <w:rsid w:val="007F779F"/>
    <w:rsid w:val="008006F9"/>
    <w:rsid w:val="00800AFF"/>
    <w:rsid w:val="00801348"/>
    <w:rsid w:val="0080530E"/>
    <w:rsid w:val="0081100A"/>
    <w:rsid w:val="008117A0"/>
    <w:rsid w:val="008118AC"/>
    <w:rsid w:val="0081255D"/>
    <w:rsid w:val="00814E16"/>
    <w:rsid w:val="00820E18"/>
    <w:rsid w:val="008218EF"/>
    <w:rsid w:val="008226B9"/>
    <w:rsid w:val="00822812"/>
    <w:rsid w:val="00822E6C"/>
    <w:rsid w:val="008232D3"/>
    <w:rsid w:val="00824739"/>
    <w:rsid w:val="0082524A"/>
    <w:rsid w:val="008253CC"/>
    <w:rsid w:val="00826376"/>
    <w:rsid w:val="00832924"/>
    <w:rsid w:val="00832E62"/>
    <w:rsid w:val="00833C38"/>
    <w:rsid w:val="0083420D"/>
    <w:rsid w:val="008359CB"/>
    <w:rsid w:val="00837544"/>
    <w:rsid w:val="008379F6"/>
    <w:rsid w:val="00837AD8"/>
    <w:rsid w:val="00837F1A"/>
    <w:rsid w:val="00840B47"/>
    <w:rsid w:val="00842B6C"/>
    <w:rsid w:val="00844D44"/>
    <w:rsid w:val="008451D9"/>
    <w:rsid w:val="00845867"/>
    <w:rsid w:val="00847E63"/>
    <w:rsid w:val="0085001B"/>
    <w:rsid w:val="00852330"/>
    <w:rsid w:val="008534BB"/>
    <w:rsid w:val="008545C6"/>
    <w:rsid w:val="0085480F"/>
    <w:rsid w:val="00856E02"/>
    <w:rsid w:val="008571F7"/>
    <w:rsid w:val="0086046D"/>
    <w:rsid w:val="00860841"/>
    <w:rsid w:val="008629A6"/>
    <w:rsid w:val="00862E55"/>
    <w:rsid w:val="00866C9A"/>
    <w:rsid w:val="00867417"/>
    <w:rsid w:val="0087255E"/>
    <w:rsid w:val="0087350F"/>
    <w:rsid w:val="00875D62"/>
    <w:rsid w:val="00876056"/>
    <w:rsid w:val="00876573"/>
    <w:rsid w:val="00880651"/>
    <w:rsid w:val="0088247B"/>
    <w:rsid w:val="00884D08"/>
    <w:rsid w:val="00886B01"/>
    <w:rsid w:val="008871CC"/>
    <w:rsid w:val="00887752"/>
    <w:rsid w:val="00887E1C"/>
    <w:rsid w:val="00890427"/>
    <w:rsid w:val="00891178"/>
    <w:rsid w:val="008914CF"/>
    <w:rsid w:val="0089183E"/>
    <w:rsid w:val="008956B9"/>
    <w:rsid w:val="0089616B"/>
    <w:rsid w:val="00896744"/>
    <w:rsid w:val="008968F9"/>
    <w:rsid w:val="008A0A60"/>
    <w:rsid w:val="008A0EF4"/>
    <w:rsid w:val="008A195A"/>
    <w:rsid w:val="008A2A43"/>
    <w:rsid w:val="008A2C57"/>
    <w:rsid w:val="008A438D"/>
    <w:rsid w:val="008A4915"/>
    <w:rsid w:val="008A60FD"/>
    <w:rsid w:val="008B1CD7"/>
    <w:rsid w:val="008B216B"/>
    <w:rsid w:val="008B2AB3"/>
    <w:rsid w:val="008B6118"/>
    <w:rsid w:val="008B61D7"/>
    <w:rsid w:val="008C1544"/>
    <w:rsid w:val="008C550E"/>
    <w:rsid w:val="008C5570"/>
    <w:rsid w:val="008D183C"/>
    <w:rsid w:val="008D1D7E"/>
    <w:rsid w:val="008D1D9F"/>
    <w:rsid w:val="008D3DB7"/>
    <w:rsid w:val="008E352A"/>
    <w:rsid w:val="008E6848"/>
    <w:rsid w:val="008F12A6"/>
    <w:rsid w:val="008F38AD"/>
    <w:rsid w:val="008F3B38"/>
    <w:rsid w:val="008F3E8F"/>
    <w:rsid w:val="008F44EA"/>
    <w:rsid w:val="008F75D9"/>
    <w:rsid w:val="009000B0"/>
    <w:rsid w:val="0090034A"/>
    <w:rsid w:val="00900475"/>
    <w:rsid w:val="009020F6"/>
    <w:rsid w:val="00902F0D"/>
    <w:rsid w:val="00910BEE"/>
    <w:rsid w:val="009113BC"/>
    <w:rsid w:val="00911AB9"/>
    <w:rsid w:val="00912466"/>
    <w:rsid w:val="00913129"/>
    <w:rsid w:val="00914A63"/>
    <w:rsid w:val="00914C1B"/>
    <w:rsid w:val="009161B9"/>
    <w:rsid w:val="009168EA"/>
    <w:rsid w:val="009216BC"/>
    <w:rsid w:val="009247A3"/>
    <w:rsid w:val="00924AEE"/>
    <w:rsid w:val="0092797D"/>
    <w:rsid w:val="00927B00"/>
    <w:rsid w:val="009317B9"/>
    <w:rsid w:val="00932608"/>
    <w:rsid w:val="00932F8D"/>
    <w:rsid w:val="00934ACD"/>
    <w:rsid w:val="0093515A"/>
    <w:rsid w:val="00936098"/>
    <w:rsid w:val="009373D4"/>
    <w:rsid w:val="00940272"/>
    <w:rsid w:val="00941F2F"/>
    <w:rsid w:val="00950C85"/>
    <w:rsid w:val="009515EB"/>
    <w:rsid w:val="009517B9"/>
    <w:rsid w:val="0095341F"/>
    <w:rsid w:val="009536FA"/>
    <w:rsid w:val="00956E48"/>
    <w:rsid w:val="00960E9B"/>
    <w:rsid w:val="00963249"/>
    <w:rsid w:val="009635C6"/>
    <w:rsid w:val="00964C93"/>
    <w:rsid w:val="009654CD"/>
    <w:rsid w:val="0096603A"/>
    <w:rsid w:val="0097249F"/>
    <w:rsid w:val="00977441"/>
    <w:rsid w:val="00977FE7"/>
    <w:rsid w:val="00981AA6"/>
    <w:rsid w:val="0098221A"/>
    <w:rsid w:val="009877B9"/>
    <w:rsid w:val="00994EA8"/>
    <w:rsid w:val="009A1B3A"/>
    <w:rsid w:val="009A2233"/>
    <w:rsid w:val="009A25AA"/>
    <w:rsid w:val="009A390C"/>
    <w:rsid w:val="009A4B50"/>
    <w:rsid w:val="009A652B"/>
    <w:rsid w:val="009B12AA"/>
    <w:rsid w:val="009B54A7"/>
    <w:rsid w:val="009B7DF5"/>
    <w:rsid w:val="009C179D"/>
    <w:rsid w:val="009C3D0F"/>
    <w:rsid w:val="009C4C97"/>
    <w:rsid w:val="009C5694"/>
    <w:rsid w:val="009C5C6C"/>
    <w:rsid w:val="009C6153"/>
    <w:rsid w:val="009C768C"/>
    <w:rsid w:val="009C7A4E"/>
    <w:rsid w:val="009D3DEE"/>
    <w:rsid w:val="009D44B0"/>
    <w:rsid w:val="009D5EFB"/>
    <w:rsid w:val="009E23EF"/>
    <w:rsid w:val="009E35BF"/>
    <w:rsid w:val="009E45E5"/>
    <w:rsid w:val="009E45FD"/>
    <w:rsid w:val="009E4909"/>
    <w:rsid w:val="009E5351"/>
    <w:rsid w:val="009E53BA"/>
    <w:rsid w:val="009E5614"/>
    <w:rsid w:val="009E7F06"/>
    <w:rsid w:val="009F491C"/>
    <w:rsid w:val="009F65FB"/>
    <w:rsid w:val="009F6F39"/>
    <w:rsid w:val="009F7F73"/>
    <w:rsid w:val="00A00558"/>
    <w:rsid w:val="00A00A85"/>
    <w:rsid w:val="00A01979"/>
    <w:rsid w:val="00A01EC9"/>
    <w:rsid w:val="00A01F59"/>
    <w:rsid w:val="00A033E5"/>
    <w:rsid w:val="00A03F20"/>
    <w:rsid w:val="00A05427"/>
    <w:rsid w:val="00A06555"/>
    <w:rsid w:val="00A0741D"/>
    <w:rsid w:val="00A103F0"/>
    <w:rsid w:val="00A12514"/>
    <w:rsid w:val="00A127B9"/>
    <w:rsid w:val="00A137C8"/>
    <w:rsid w:val="00A159E7"/>
    <w:rsid w:val="00A164E4"/>
    <w:rsid w:val="00A16728"/>
    <w:rsid w:val="00A220F6"/>
    <w:rsid w:val="00A23580"/>
    <w:rsid w:val="00A24F8C"/>
    <w:rsid w:val="00A27DF3"/>
    <w:rsid w:val="00A31669"/>
    <w:rsid w:val="00A33643"/>
    <w:rsid w:val="00A33FBA"/>
    <w:rsid w:val="00A359F4"/>
    <w:rsid w:val="00A361F5"/>
    <w:rsid w:val="00A3694E"/>
    <w:rsid w:val="00A4255F"/>
    <w:rsid w:val="00A427DF"/>
    <w:rsid w:val="00A42F8D"/>
    <w:rsid w:val="00A4401F"/>
    <w:rsid w:val="00A44CF0"/>
    <w:rsid w:val="00A45845"/>
    <w:rsid w:val="00A47E31"/>
    <w:rsid w:val="00A503EC"/>
    <w:rsid w:val="00A50CA6"/>
    <w:rsid w:val="00A517A5"/>
    <w:rsid w:val="00A51C07"/>
    <w:rsid w:val="00A51EB8"/>
    <w:rsid w:val="00A57F52"/>
    <w:rsid w:val="00A63659"/>
    <w:rsid w:val="00A66A42"/>
    <w:rsid w:val="00A704A8"/>
    <w:rsid w:val="00A704E0"/>
    <w:rsid w:val="00A70F07"/>
    <w:rsid w:val="00A73949"/>
    <w:rsid w:val="00A74D80"/>
    <w:rsid w:val="00A756B3"/>
    <w:rsid w:val="00A75AD4"/>
    <w:rsid w:val="00A77373"/>
    <w:rsid w:val="00A777E0"/>
    <w:rsid w:val="00A77BFB"/>
    <w:rsid w:val="00A809E1"/>
    <w:rsid w:val="00A828C8"/>
    <w:rsid w:val="00A96255"/>
    <w:rsid w:val="00AA0006"/>
    <w:rsid w:val="00AA0795"/>
    <w:rsid w:val="00AA428E"/>
    <w:rsid w:val="00AA4D51"/>
    <w:rsid w:val="00AA4F5B"/>
    <w:rsid w:val="00AA5D34"/>
    <w:rsid w:val="00AA652D"/>
    <w:rsid w:val="00AA69F3"/>
    <w:rsid w:val="00AA714E"/>
    <w:rsid w:val="00AB128D"/>
    <w:rsid w:val="00AB4A38"/>
    <w:rsid w:val="00AB56AA"/>
    <w:rsid w:val="00AC0469"/>
    <w:rsid w:val="00AC0DB0"/>
    <w:rsid w:val="00AC1DAA"/>
    <w:rsid w:val="00AC3647"/>
    <w:rsid w:val="00AC5030"/>
    <w:rsid w:val="00AD2204"/>
    <w:rsid w:val="00AD3504"/>
    <w:rsid w:val="00AD584E"/>
    <w:rsid w:val="00AD6AC8"/>
    <w:rsid w:val="00AD78E2"/>
    <w:rsid w:val="00AE1D1D"/>
    <w:rsid w:val="00AE1DAA"/>
    <w:rsid w:val="00AE259B"/>
    <w:rsid w:val="00AE376B"/>
    <w:rsid w:val="00AE6B8E"/>
    <w:rsid w:val="00AE6EBF"/>
    <w:rsid w:val="00AE72E2"/>
    <w:rsid w:val="00AF20AE"/>
    <w:rsid w:val="00AF3778"/>
    <w:rsid w:val="00AF6C9A"/>
    <w:rsid w:val="00B02532"/>
    <w:rsid w:val="00B03EDE"/>
    <w:rsid w:val="00B062BB"/>
    <w:rsid w:val="00B12140"/>
    <w:rsid w:val="00B14528"/>
    <w:rsid w:val="00B155D2"/>
    <w:rsid w:val="00B16364"/>
    <w:rsid w:val="00B16FD1"/>
    <w:rsid w:val="00B20094"/>
    <w:rsid w:val="00B230F0"/>
    <w:rsid w:val="00B24819"/>
    <w:rsid w:val="00B263AB"/>
    <w:rsid w:val="00B27D0D"/>
    <w:rsid w:val="00B302E8"/>
    <w:rsid w:val="00B30C79"/>
    <w:rsid w:val="00B30FD5"/>
    <w:rsid w:val="00B31B82"/>
    <w:rsid w:val="00B3285B"/>
    <w:rsid w:val="00B339F7"/>
    <w:rsid w:val="00B3446F"/>
    <w:rsid w:val="00B36850"/>
    <w:rsid w:val="00B372DC"/>
    <w:rsid w:val="00B37649"/>
    <w:rsid w:val="00B3798E"/>
    <w:rsid w:val="00B40BF8"/>
    <w:rsid w:val="00B4377F"/>
    <w:rsid w:val="00B4646B"/>
    <w:rsid w:val="00B4665C"/>
    <w:rsid w:val="00B46FF3"/>
    <w:rsid w:val="00B513C6"/>
    <w:rsid w:val="00B5468E"/>
    <w:rsid w:val="00B54B23"/>
    <w:rsid w:val="00B55024"/>
    <w:rsid w:val="00B560D6"/>
    <w:rsid w:val="00B5694F"/>
    <w:rsid w:val="00B57452"/>
    <w:rsid w:val="00B622DA"/>
    <w:rsid w:val="00B635CB"/>
    <w:rsid w:val="00B63C39"/>
    <w:rsid w:val="00B70623"/>
    <w:rsid w:val="00B70C6B"/>
    <w:rsid w:val="00B72946"/>
    <w:rsid w:val="00B74711"/>
    <w:rsid w:val="00B748F6"/>
    <w:rsid w:val="00B75AFB"/>
    <w:rsid w:val="00B76017"/>
    <w:rsid w:val="00B77970"/>
    <w:rsid w:val="00B81530"/>
    <w:rsid w:val="00B825DB"/>
    <w:rsid w:val="00B829B6"/>
    <w:rsid w:val="00B82FA5"/>
    <w:rsid w:val="00B83A88"/>
    <w:rsid w:val="00B9074A"/>
    <w:rsid w:val="00B90DF5"/>
    <w:rsid w:val="00B915A7"/>
    <w:rsid w:val="00B925A0"/>
    <w:rsid w:val="00B92987"/>
    <w:rsid w:val="00B92E50"/>
    <w:rsid w:val="00B94A6D"/>
    <w:rsid w:val="00B95119"/>
    <w:rsid w:val="00B9513F"/>
    <w:rsid w:val="00BA012F"/>
    <w:rsid w:val="00BA0846"/>
    <w:rsid w:val="00BA4D4E"/>
    <w:rsid w:val="00BA549B"/>
    <w:rsid w:val="00BA63B7"/>
    <w:rsid w:val="00BB18EF"/>
    <w:rsid w:val="00BB1A0B"/>
    <w:rsid w:val="00BB37BB"/>
    <w:rsid w:val="00BC0597"/>
    <w:rsid w:val="00BC4C5D"/>
    <w:rsid w:val="00BC5446"/>
    <w:rsid w:val="00BC5472"/>
    <w:rsid w:val="00BC5536"/>
    <w:rsid w:val="00BC6585"/>
    <w:rsid w:val="00BC6E4F"/>
    <w:rsid w:val="00BC724B"/>
    <w:rsid w:val="00BD23FE"/>
    <w:rsid w:val="00BD411D"/>
    <w:rsid w:val="00BD57D2"/>
    <w:rsid w:val="00BD7754"/>
    <w:rsid w:val="00BD7E2A"/>
    <w:rsid w:val="00BE0F5D"/>
    <w:rsid w:val="00BE2463"/>
    <w:rsid w:val="00BE3EB6"/>
    <w:rsid w:val="00BE4DD9"/>
    <w:rsid w:val="00BE6678"/>
    <w:rsid w:val="00BE79DA"/>
    <w:rsid w:val="00BF11CF"/>
    <w:rsid w:val="00BF1435"/>
    <w:rsid w:val="00BF1B8C"/>
    <w:rsid w:val="00BF2709"/>
    <w:rsid w:val="00BF29E5"/>
    <w:rsid w:val="00BF4F83"/>
    <w:rsid w:val="00C00154"/>
    <w:rsid w:val="00C00989"/>
    <w:rsid w:val="00C01A09"/>
    <w:rsid w:val="00C01C2B"/>
    <w:rsid w:val="00C01CFB"/>
    <w:rsid w:val="00C07EC6"/>
    <w:rsid w:val="00C1319D"/>
    <w:rsid w:val="00C1406C"/>
    <w:rsid w:val="00C152D8"/>
    <w:rsid w:val="00C17DB1"/>
    <w:rsid w:val="00C209DA"/>
    <w:rsid w:val="00C20D87"/>
    <w:rsid w:val="00C243D4"/>
    <w:rsid w:val="00C2449C"/>
    <w:rsid w:val="00C2598D"/>
    <w:rsid w:val="00C25DA9"/>
    <w:rsid w:val="00C359EE"/>
    <w:rsid w:val="00C369D7"/>
    <w:rsid w:val="00C37D5B"/>
    <w:rsid w:val="00C41ED2"/>
    <w:rsid w:val="00C429CB"/>
    <w:rsid w:val="00C43259"/>
    <w:rsid w:val="00C46335"/>
    <w:rsid w:val="00C46811"/>
    <w:rsid w:val="00C46F62"/>
    <w:rsid w:val="00C53E59"/>
    <w:rsid w:val="00C55E85"/>
    <w:rsid w:val="00C56578"/>
    <w:rsid w:val="00C600F4"/>
    <w:rsid w:val="00C60219"/>
    <w:rsid w:val="00C62789"/>
    <w:rsid w:val="00C65F5B"/>
    <w:rsid w:val="00C6690F"/>
    <w:rsid w:val="00C674A6"/>
    <w:rsid w:val="00C67A4D"/>
    <w:rsid w:val="00C71542"/>
    <w:rsid w:val="00C72302"/>
    <w:rsid w:val="00C74485"/>
    <w:rsid w:val="00C74D70"/>
    <w:rsid w:val="00C74F12"/>
    <w:rsid w:val="00C755E8"/>
    <w:rsid w:val="00C75DF9"/>
    <w:rsid w:val="00C80AB8"/>
    <w:rsid w:val="00C819D6"/>
    <w:rsid w:val="00C83B72"/>
    <w:rsid w:val="00C86688"/>
    <w:rsid w:val="00C91285"/>
    <w:rsid w:val="00C92F9B"/>
    <w:rsid w:val="00C931E6"/>
    <w:rsid w:val="00C94FBE"/>
    <w:rsid w:val="00CA0877"/>
    <w:rsid w:val="00CA092E"/>
    <w:rsid w:val="00CA1476"/>
    <w:rsid w:val="00CA4E22"/>
    <w:rsid w:val="00CB3820"/>
    <w:rsid w:val="00CB4928"/>
    <w:rsid w:val="00CB7C95"/>
    <w:rsid w:val="00CC2CBF"/>
    <w:rsid w:val="00CC498D"/>
    <w:rsid w:val="00CD1E16"/>
    <w:rsid w:val="00CD4CDC"/>
    <w:rsid w:val="00CD5DC4"/>
    <w:rsid w:val="00CD77C0"/>
    <w:rsid w:val="00CD79F6"/>
    <w:rsid w:val="00CE1797"/>
    <w:rsid w:val="00CE4073"/>
    <w:rsid w:val="00CE5A80"/>
    <w:rsid w:val="00CE6A72"/>
    <w:rsid w:val="00CF21FD"/>
    <w:rsid w:val="00CF60F5"/>
    <w:rsid w:val="00CF640E"/>
    <w:rsid w:val="00CF6E28"/>
    <w:rsid w:val="00D03FA7"/>
    <w:rsid w:val="00D0522E"/>
    <w:rsid w:val="00D1109C"/>
    <w:rsid w:val="00D11E4B"/>
    <w:rsid w:val="00D14F1B"/>
    <w:rsid w:val="00D16100"/>
    <w:rsid w:val="00D20904"/>
    <w:rsid w:val="00D23D6F"/>
    <w:rsid w:val="00D26437"/>
    <w:rsid w:val="00D27895"/>
    <w:rsid w:val="00D348F9"/>
    <w:rsid w:val="00D34A41"/>
    <w:rsid w:val="00D36DAC"/>
    <w:rsid w:val="00D37FE1"/>
    <w:rsid w:val="00D40DE4"/>
    <w:rsid w:val="00D45030"/>
    <w:rsid w:val="00D45BF7"/>
    <w:rsid w:val="00D46C2E"/>
    <w:rsid w:val="00D47EB0"/>
    <w:rsid w:val="00D51CDB"/>
    <w:rsid w:val="00D52C1A"/>
    <w:rsid w:val="00D531E4"/>
    <w:rsid w:val="00D532E9"/>
    <w:rsid w:val="00D53D52"/>
    <w:rsid w:val="00D555FA"/>
    <w:rsid w:val="00D57C04"/>
    <w:rsid w:val="00D61DD3"/>
    <w:rsid w:val="00D62949"/>
    <w:rsid w:val="00D62E57"/>
    <w:rsid w:val="00D633B7"/>
    <w:rsid w:val="00D635E9"/>
    <w:rsid w:val="00D638F5"/>
    <w:rsid w:val="00D65455"/>
    <w:rsid w:val="00D65CBC"/>
    <w:rsid w:val="00D67F0D"/>
    <w:rsid w:val="00D71983"/>
    <w:rsid w:val="00D73A8C"/>
    <w:rsid w:val="00D760A9"/>
    <w:rsid w:val="00D7613C"/>
    <w:rsid w:val="00D766ED"/>
    <w:rsid w:val="00D7707D"/>
    <w:rsid w:val="00D82707"/>
    <w:rsid w:val="00D84417"/>
    <w:rsid w:val="00D84B3B"/>
    <w:rsid w:val="00D85040"/>
    <w:rsid w:val="00D85AF3"/>
    <w:rsid w:val="00D872BA"/>
    <w:rsid w:val="00D90C68"/>
    <w:rsid w:val="00D91794"/>
    <w:rsid w:val="00D927A8"/>
    <w:rsid w:val="00D93171"/>
    <w:rsid w:val="00D9397E"/>
    <w:rsid w:val="00D93ECF"/>
    <w:rsid w:val="00D942FC"/>
    <w:rsid w:val="00D960E5"/>
    <w:rsid w:val="00D9639A"/>
    <w:rsid w:val="00DA1FF7"/>
    <w:rsid w:val="00DA220E"/>
    <w:rsid w:val="00DA4098"/>
    <w:rsid w:val="00DA4313"/>
    <w:rsid w:val="00DA4E1C"/>
    <w:rsid w:val="00DA729F"/>
    <w:rsid w:val="00DA736B"/>
    <w:rsid w:val="00DB0BBE"/>
    <w:rsid w:val="00DB2530"/>
    <w:rsid w:val="00DB33A1"/>
    <w:rsid w:val="00DB754C"/>
    <w:rsid w:val="00DB7918"/>
    <w:rsid w:val="00DB7C8D"/>
    <w:rsid w:val="00DC00B1"/>
    <w:rsid w:val="00DC0A59"/>
    <w:rsid w:val="00DC22AC"/>
    <w:rsid w:val="00DC24F7"/>
    <w:rsid w:val="00DC3856"/>
    <w:rsid w:val="00DC5913"/>
    <w:rsid w:val="00DC6058"/>
    <w:rsid w:val="00DC70B3"/>
    <w:rsid w:val="00DC7B4C"/>
    <w:rsid w:val="00DD1151"/>
    <w:rsid w:val="00DD48DF"/>
    <w:rsid w:val="00DD5194"/>
    <w:rsid w:val="00DD6E47"/>
    <w:rsid w:val="00DD72C3"/>
    <w:rsid w:val="00DE03DB"/>
    <w:rsid w:val="00DE3292"/>
    <w:rsid w:val="00DF1D3D"/>
    <w:rsid w:val="00DF2318"/>
    <w:rsid w:val="00DF2A63"/>
    <w:rsid w:val="00DF35E4"/>
    <w:rsid w:val="00DF4168"/>
    <w:rsid w:val="00DF58DB"/>
    <w:rsid w:val="00DF7362"/>
    <w:rsid w:val="00E00261"/>
    <w:rsid w:val="00E01351"/>
    <w:rsid w:val="00E021AB"/>
    <w:rsid w:val="00E101AE"/>
    <w:rsid w:val="00E107A8"/>
    <w:rsid w:val="00E12619"/>
    <w:rsid w:val="00E128E2"/>
    <w:rsid w:val="00E12C8B"/>
    <w:rsid w:val="00E13BEE"/>
    <w:rsid w:val="00E1482A"/>
    <w:rsid w:val="00E14DAC"/>
    <w:rsid w:val="00E16FC7"/>
    <w:rsid w:val="00E21F7C"/>
    <w:rsid w:val="00E2341E"/>
    <w:rsid w:val="00E27DE4"/>
    <w:rsid w:val="00E317A6"/>
    <w:rsid w:val="00E34C21"/>
    <w:rsid w:val="00E3535F"/>
    <w:rsid w:val="00E360A7"/>
    <w:rsid w:val="00E36398"/>
    <w:rsid w:val="00E3672C"/>
    <w:rsid w:val="00E37960"/>
    <w:rsid w:val="00E40037"/>
    <w:rsid w:val="00E40992"/>
    <w:rsid w:val="00E415F0"/>
    <w:rsid w:val="00E428F6"/>
    <w:rsid w:val="00E44899"/>
    <w:rsid w:val="00E451A7"/>
    <w:rsid w:val="00E4592A"/>
    <w:rsid w:val="00E476AE"/>
    <w:rsid w:val="00E50E4F"/>
    <w:rsid w:val="00E5226D"/>
    <w:rsid w:val="00E52335"/>
    <w:rsid w:val="00E52B37"/>
    <w:rsid w:val="00E53DA1"/>
    <w:rsid w:val="00E55198"/>
    <w:rsid w:val="00E57B41"/>
    <w:rsid w:val="00E62068"/>
    <w:rsid w:val="00E63290"/>
    <w:rsid w:val="00E63BE3"/>
    <w:rsid w:val="00E64BDF"/>
    <w:rsid w:val="00E671F5"/>
    <w:rsid w:val="00E71529"/>
    <w:rsid w:val="00E71AF4"/>
    <w:rsid w:val="00E72DF5"/>
    <w:rsid w:val="00E75FC5"/>
    <w:rsid w:val="00E8034E"/>
    <w:rsid w:val="00E80ECC"/>
    <w:rsid w:val="00E81231"/>
    <w:rsid w:val="00E84D67"/>
    <w:rsid w:val="00E84EC3"/>
    <w:rsid w:val="00E87938"/>
    <w:rsid w:val="00E90737"/>
    <w:rsid w:val="00E909DE"/>
    <w:rsid w:val="00E91370"/>
    <w:rsid w:val="00E923C0"/>
    <w:rsid w:val="00E9310C"/>
    <w:rsid w:val="00E967DA"/>
    <w:rsid w:val="00E97505"/>
    <w:rsid w:val="00EA19B8"/>
    <w:rsid w:val="00EA1A54"/>
    <w:rsid w:val="00EA2AEC"/>
    <w:rsid w:val="00EA3A59"/>
    <w:rsid w:val="00EA430F"/>
    <w:rsid w:val="00EA4906"/>
    <w:rsid w:val="00EA6431"/>
    <w:rsid w:val="00EB2102"/>
    <w:rsid w:val="00EC2739"/>
    <w:rsid w:val="00EC3246"/>
    <w:rsid w:val="00EC5651"/>
    <w:rsid w:val="00EC57B8"/>
    <w:rsid w:val="00EC6CAD"/>
    <w:rsid w:val="00EC6CBF"/>
    <w:rsid w:val="00ED24D4"/>
    <w:rsid w:val="00ED2D3C"/>
    <w:rsid w:val="00ED36D5"/>
    <w:rsid w:val="00ED3E93"/>
    <w:rsid w:val="00ED57EF"/>
    <w:rsid w:val="00ED6DCB"/>
    <w:rsid w:val="00EE25E9"/>
    <w:rsid w:val="00EE3862"/>
    <w:rsid w:val="00EE7218"/>
    <w:rsid w:val="00EF31BB"/>
    <w:rsid w:val="00EF38B6"/>
    <w:rsid w:val="00EF7492"/>
    <w:rsid w:val="00F00117"/>
    <w:rsid w:val="00F01054"/>
    <w:rsid w:val="00F01264"/>
    <w:rsid w:val="00F01C43"/>
    <w:rsid w:val="00F03551"/>
    <w:rsid w:val="00F04226"/>
    <w:rsid w:val="00F0735D"/>
    <w:rsid w:val="00F159C1"/>
    <w:rsid w:val="00F2081A"/>
    <w:rsid w:val="00F220AF"/>
    <w:rsid w:val="00F23D89"/>
    <w:rsid w:val="00F24F1C"/>
    <w:rsid w:val="00F2533A"/>
    <w:rsid w:val="00F25944"/>
    <w:rsid w:val="00F261AF"/>
    <w:rsid w:val="00F269AD"/>
    <w:rsid w:val="00F30BF6"/>
    <w:rsid w:val="00F3167C"/>
    <w:rsid w:val="00F32152"/>
    <w:rsid w:val="00F358F6"/>
    <w:rsid w:val="00F42C0C"/>
    <w:rsid w:val="00F44B61"/>
    <w:rsid w:val="00F47E25"/>
    <w:rsid w:val="00F50CFC"/>
    <w:rsid w:val="00F52966"/>
    <w:rsid w:val="00F531AF"/>
    <w:rsid w:val="00F53B76"/>
    <w:rsid w:val="00F55119"/>
    <w:rsid w:val="00F5577C"/>
    <w:rsid w:val="00F648D5"/>
    <w:rsid w:val="00F65FAA"/>
    <w:rsid w:val="00F71C3D"/>
    <w:rsid w:val="00F726FB"/>
    <w:rsid w:val="00F72EB1"/>
    <w:rsid w:val="00F75F14"/>
    <w:rsid w:val="00F75F65"/>
    <w:rsid w:val="00F765A8"/>
    <w:rsid w:val="00F816D6"/>
    <w:rsid w:val="00F8282E"/>
    <w:rsid w:val="00F85C49"/>
    <w:rsid w:val="00F86A5F"/>
    <w:rsid w:val="00F8714C"/>
    <w:rsid w:val="00F92294"/>
    <w:rsid w:val="00F93973"/>
    <w:rsid w:val="00F97226"/>
    <w:rsid w:val="00FA0311"/>
    <w:rsid w:val="00FA0F0E"/>
    <w:rsid w:val="00FA1089"/>
    <w:rsid w:val="00FA7544"/>
    <w:rsid w:val="00FB49A9"/>
    <w:rsid w:val="00FB559D"/>
    <w:rsid w:val="00FB75FF"/>
    <w:rsid w:val="00FB77F4"/>
    <w:rsid w:val="00FB7DC6"/>
    <w:rsid w:val="00FC37D0"/>
    <w:rsid w:val="00FC5634"/>
    <w:rsid w:val="00FC5D3E"/>
    <w:rsid w:val="00FC5EB9"/>
    <w:rsid w:val="00FC6BF0"/>
    <w:rsid w:val="00FD126B"/>
    <w:rsid w:val="00FD306F"/>
    <w:rsid w:val="00FD372E"/>
    <w:rsid w:val="00FD4A74"/>
    <w:rsid w:val="00FE3801"/>
    <w:rsid w:val="00FE7ABC"/>
    <w:rsid w:val="00FE7EBC"/>
    <w:rsid w:val="00FF137C"/>
    <w:rsid w:val="00FF1FE3"/>
    <w:rsid w:val="00FF2382"/>
    <w:rsid w:val="00FF6428"/>
    <w:rsid w:val="0110B7F1"/>
    <w:rsid w:val="0232C802"/>
    <w:rsid w:val="0274F11D"/>
    <w:rsid w:val="02EE95E1"/>
    <w:rsid w:val="040F88C2"/>
    <w:rsid w:val="049248B8"/>
    <w:rsid w:val="05441CEB"/>
    <w:rsid w:val="05943531"/>
    <w:rsid w:val="0601E18B"/>
    <w:rsid w:val="07483805"/>
    <w:rsid w:val="0791A567"/>
    <w:rsid w:val="07C7CC3D"/>
    <w:rsid w:val="08006E11"/>
    <w:rsid w:val="08665339"/>
    <w:rsid w:val="08763742"/>
    <w:rsid w:val="0885DF7D"/>
    <w:rsid w:val="08E4B0E0"/>
    <w:rsid w:val="0AD3D000"/>
    <w:rsid w:val="0E38F232"/>
    <w:rsid w:val="0E525FEF"/>
    <w:rsid w:val="0E68E901"/>
    <w:rsid w:val="100976DA"/>
    <w:rsid w:val="12972D10"/>
    <w:rsid w:val="1625A2E8"/>
    <w:rsid w:val="16595E05"/>
    <w:rsid w:val="166C819C"/>
    <w:rsid w:val="1674DEA4"/>
    <w:rsid w:val="16759659"/>
    <w:rsid w:val="17545537"/>
    <w:rsid w:val="1A741E5B"/>
    <w:rsid w:val="1BEB2B12"/>
    <w:rsid w:val="1BFD0616"/>
    <w:rsid w:val="1BFD2E20"/>
    <w:rsid w:val="1D7A5475"/>
    <w:rsid w:val="1D9329C1"/>
    <w:rsid w:val="1DDE5AE9"/>
    <w:rsid w:val="1E384DE7"/>
    <w:rsid w:val="1FAF28C6"/>
    <w:rsid w:val="1FEC8730"/>
    <w:rsid w:val="202E8F15"/>
    <w:rsid w:val="209A9E18"/>
    <w:rsid w:val="22FA402C"/>
    <w:rsid w:val="24AFC973"/>
    <w:rsid w:val="26034FD5"/>
    <w:rsid w:val="2AA3B594"/>
    <w:rsid w:val="2B8D6428"/>
    <w:rsid w:val="2BBFC946"/>
    <w:rsid w:val="2BEC76FD"/>
    <w:rsid w:val="2D298A4E"/>
    <w:rsid w:val="2E6D5899"/>
    <w:rsid w:val="2E830839"/>
    <w:rsid w:val="2F120EC5"/>
    <w:rsid w:val="301ED89A"/>
    <w:rsid w:val="30D26FDC"/>
    <w:rsid w:val="321F7F91"/>
    <w:rsid w:val="3601A46D"/>
    <w:rsid w:val="370F22F2"/>
    <w:rsid w:val="3748823A"/>
    <w:rsid w:val="39473842"/>
    <w:rsid w:val="39DDDF65"/>
    <w:rsid w:val="3DDB8308"/>
    <w:rsid w:val="40E720EA"/>
    <w:rsid w:val="41AD6451"/>
    <w:rsid w:val="42E0E96F"/>
    <w:rsid w:val="430BA78B"/>
    <w:rsid w:val="4357BD6B"/>
    <w:rsid w:val="444737BC"/>
    <w:rsid w:val="455331C8"/>
    <w:rsid w:val="4593773E"/>
    <w:rsid w:val="46EA6C64"/>
    <w:rsid w:val="479F3544"/>
    <w:rsid w:val="49A9AF6B"/>
    <w:rsid w:val="4ABC243D"/>
    <w:rsid w:val="4AF9E47B"/>
    <w:rsid w:val="4B5A56E7"/>
    <w:rsid w:val="4C30EBC5"/>
    <w:rsid w:val="4D1D60AA"/>
    <w:rsid w:val="4DE78E3D"/>
    <w:rsid w:val="4DEF53CD"/>
    <w:rsid w:val="4F511F58"/>
    <w:rsid w:val="519A3927"/>
    <w:rsid w:val="52A88443"/>
    <w:rsid w:val="52BEFB28"/>
    <w:rsid w:val="536F84AA"/>
    <w:rsid w:val="53B4C719"/>
    <w:rsid w:val="5526CBBE"/>
    <w:rsid w:val="585D1BC1"/>
    <w:rsid w:val="58ED8462"/>
    <w:rsid w:val="5932EA4B"/>
    <w:rsid w:val="59B10473"/>
    <w:rsid w:val="5A192BCD"/>
    <w:rsid w:val="5AD48A90"/>
    <w:rsid w:val="5C01DA95"/>
    <w:rsid w:val="5C941502"/>
    <w:rsid w:val="5EC93CD5"/>
    <w:rsid w:val="612D87BE"/>
    <w:rsid w:val="62324518"/>
    <w:rsid w:val="62A89DAE"/>
    <w:rsid w:val="6554DAF3"/>
    <w:rsid w:val="6603BFD7"/>
    <w:rsid w:val="66DE01AD"/>
    <w:rsid w:val="679F9038"/>
    <w:rsid w:val="6B02D2DF"/>
    <w:rsid w:val="6BB66228"/>
    <w:rsid w:val="6CDB8191"/>
    <w:rsid w:val="6CF2F391"/>
    <w:rsid w:val="6D0A6EBB"/>
    <w:rsid w:val="6D247B48"/>
    <w:rsid w:val="6DA65979"/>
    <w:rsid w:val="6E520D93"/>
    <w:rsid w:val="6F83E23C"/>
    <w:rsid w:val="716EF3F3"/>
    <w:rsid w:val="71E63450"/>
    <w:rsid w:val="733C4AC5"/>
    <w:rsid w:val="737FD935"/>
    <w:rsid w:val="7430369C"/>
    <w:rsid w:val="74A4D486"/>
    <w:rsid w:val="75AAA4DF"/>
    <w:rsid w:val="76693B7A"/>
    <w:rsid w:val="7A059175"/>
    <w:rsid w:val="7B9D8A22"/>
    <w:rsid w:val="7D9EDAFB"/>
    <w:rsid w:val="7EF5F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0DD1"/>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4AF9E47B"/>
    <w:pPr>
      <w:spacing w:after="200" w:line="276" w:lineRule="auto"/>
    </w:pPr>
    <w:rPr>
      <w:rFonts w:cs="Times New Roman"/>
      <w:sz w:val="22"/>
      <w:szCs w:val="22"/>
      <w:lang w:val="en-GB"/>
    </w:rPr>
  </w:style>
  <w:style w:type="paragraph" w:styleId="Heading1">
    <w:name w:val="heading 1"/>
    <w:basedOn w:val="Normal"/>
    <w:next w:val="Normal"/>
    <w:link w:val="Heading1Char"/>
    <w:uiPriority w:val="9"/>
    <w:qFormat/>
    <w:rsid w:val="4AF9E47B"/>
    <w:pPr>
      <w:keepNext/>
      <w:keepLines/>
      <w:spacing w:before="240" w:after="0"/>
      <w:outlineLvl w:val="0"/>
    </w:pPr>
    <w:rPr>
      <w:rFonts w:asciiTheme="majorHAnsi" w:hAnsiTheme="majorHAnsi" w:eastAsiaTheme="majorEastAsia" w:cstheme="majorBidi"/>
      <w:color w:val="2E74B5" w:themeColor="accent1" w:themeShade="BF"/>
      <w:sz w:val="32"/>
      <w:szCs w:val="32"/>
      <w:lang w:val="en-AU"/>
    </w:rPr>
  </w:style>
  <w:style w:type="paragraph" w:styleId="Heading2">
    <w:name w:val="heading 2"/>
    <w:basedOn w:val="Normal"/>
    <w:next w:val="Normal"/>
    <w:link w:val="Heading2Char"/>
    <w:uiPriority w:val="99"/>
    <w:qFormat/>
    <w:rsid w:val="4AF9E47B"/>
    <w:pPr>
      <w:keepNext/>
      <w:outlineLvl w:val="1"/>
    </w:pPr>
    <w:rPr>
      <w:rFonts w:ascii="Times New Roman" w:hAnsi="Times New Roman" w:eastAsia="Times New Roman"/>
      <w:i/>
      <w:iCs/>
      <w:sz w:val="24"/>
      <w:szCs w:val="24"/>
      <w:lang w:val="en-AU" w:eastAsia="en-AU"/>
    </w:rPr>
  </w:style>
  <w:style w:type="paragraph" w:styleId="Heading3">
    <w:name w:val="heading 3"/>
    <w:basedOn w:val="Normal"/>
    <w:next w:val="Normal"/>
    <w:link w:val="Heading3Char"/>
    <w:uiPriority w:val="9"/>
    <w:unhideWhenUsed/>
    <w:qFormat/>
    <w:rsid w:val="4AF9E47B"/>
    <w:pPr>
      <w:keepNext/>
      <w:keepLines/>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4AF9E47B"/>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4AF9E47B"/>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4AF9E47B"/>
    <w:pPr>
      <w:keepNext/>
      <w:keepLines/>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4AF9E47B"/>
    <w:pPr>
      <w:keepNext/>
      <w:keepLines/>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4AF9E47B"/>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AF9E47B"/>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4AF9E47B"/>
    <w:rPr>
      <w:rFonts w:asciiTheme="majorHAnsi" w:hAnsiTheme="majorHAnsi" w:eastAsiaTheme="majorEastAsia" w:cstheme="majorBidi"/>
      <w:noProof w:val="0"/>
      <w:color w:val="2E74B5" w:themeColor="accent1" w:themeShade="BF"/>
      <w:sz w:val="32"/>
      <w:szCs w:val="32"/>
      <w:lang w:val="en-AU"/>
    </w:rPr>
  </w:style>
  <w:style w:type="character" w:styleId="Heading2Char" w:customStyle="1">
    <w:name w:val="Heading 2 Char"/>
    <w:basedOn w:val="DefaultParagraphFont"/>
    <w:link w:val="Heading2"/>
    <w:uiPriority w:val="99"/>
    <w:rsid w:val="4AF9E47B"/>
    <w:rPr>
      <w:rFonts w:ascii="Times New Roman" w:hAnsi="Times New Roman" w:eastAsia="Times New Roman" w:cs="Times New Roman"/>
      <w:i/>
      <w:iCs/>
      <w:noProof w:val="0"/>
      <w:lang w:val="en-AU" w:eastAsia="en-AU"/>
    </w:rPr>
  </w:style>
  <w:style w:type="character" w:styleId="Hyperlink">
    <w:name w:val="Hyperlink"/>
    <w:uiPriority w:val="99"/>
    <w:unhideWhenUsed/>
    <w:rsid w:val="00457F3C"/>
    <w:rPr>
      <w:color w:val="0000FF"/>
      <w:u w:val="single"/>
    </w:rPr>
  </w:style>
  <w:style w:type="paragraph" w:styleId="ListParagraph">
    <w:name w:val="List Paragraph"/>
    <w:basedOn w:val="Normal"/>
    <w:link w:val="ListParagraphChar"/>
    <w:uiPriority w:val="34"/>
    <w:qFormat/>
    <w:rsid w:val="4AF9E47B"/>
    <w:pPr>
      <w:ind w:left="720"/>
      <w:contextualSpacing/>
    </w:pPr>
    <w:rPr>
      <w:lang w:val="en-AU"/>
    </w:rPr>
  </w:style>
  <w:style w:type="paragraph" w:styleId="Default" w:customStyle="1">
    <w:name w:val="Default"/>
    <w:rsid w:val="00457F3C"/>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457F3C"/>
    <w:rPr>
      <w:rFonts w:ascii="Calibri" w:hAnsi="Calibri"/>
      <w:color w:val="auto"/>
      <w:sz w:val="22"/>
    </w:rPr>
  </w:style>
  <w:style w:type="paragraph" w:styleId="TOC1">
    <w:name w:val="toc 1"/>
    <w:basedOn w:val="Normal"/>
    <w:next w:val="Normal"/>
    <w:uiPriority w:val="39"/>
    <w:unhideWhenUsed/>
    <w:rsid w:val="4AF9E47B"/>
    <w:pPr>
      <w:spacing w:before="120" w:after="0"/>
    </w:pPr>
    <w:rPr>
      <w:b/>
      <w:bCs/>
      <w:sz w:val="24"/>
      <w:szCs w:val="24"/>
    </w:rPr>
  </w:style>
  <w:style w:type="paragraph" w:styleId="TOC2">
    <w:name w:val="toc 2"/>
    <w:basedOn w:val="Normal"/>
    <w:next w:val="Normal"/>
    <w:uiPriority w:val="39"/>
    <w:unhideWhenUsed/>
    <w:rsid w:val="4AF9E47B"/>
    <w:pPr>
      <w:spacing w:after="0"/>
      <w:ind w:left="220"/>
    </w:pPr>
    <w:rPr>
      <w:b/>
      <w:bCs/>
    </w:rPr>
  </w:style>
  <w:style w:type="paragraph" w:styleId="SectionSubtitle" w:customStyle="1">
    <w:name w:val="Section Subtitle"/>
    <w:basedOn w:val="Normal"/>
    <w:uiPriority w:val="99"/>
    <w:rsid w:val="4AF9E47B"/>
    <w:pPr>
      <w:spacing w:after="0"/>
    </w:pPr>
    <w:rPr>
      <w:rFonts w:eastAsia="Times New Roman"/>
      <w:b/>
      <w:bCs/>
      <w:sz w:val="24"/>
      <w:szCs w:val="24"/>
    </w:rPr>
  </w:style>
  <w:style w:type="paragraph" w:styleId="CoverPageTitle" w:customStyle="1">
    <w:name w:val="Cover Page Title"/>
    <w:basedOn w:val="Normal"/>
    <w:uiPriority w:val="99"/>
    <w:rsid w:val="4AF9E47B"/>
    <w:pPr>
      <w:spacing w:after="0"/>
    </w:pPr>
    <w:rPr>
      <w:rFonts w:eastAsia="Times New Roman"/>
      <w:b/>
      <w:bCs/>
      <w:color w:val="FFFFFF" w:themeColor="background1"/>
      <w:sz w:val="32"/>
      <w:szCs w:val="32"/>
    </w:rPr>
  </w:style>
  <w:style w:type="paragraph" w:styleId="CoverPageWhiteText" w:customStyle="1">
    <w:name w:val="Cover Page White Text"/>
    <w:basedOn w:val="Normal"/>
    <w:uiPriority w:val="99"/>
    <w:rsid w:val="4AF9E47B"/>
    <w:pPr>
      <w:spacing w:after="0"/>
    </w:pPr>
    <w:rPr>
      <w:rFonts w:eastAsia="Times New Roman"/>
      <w:b/>
      <w:bCs/>
      <w:color w:val="FFFFFF" w:themeColor="background1"/>
      <w:sz w:val="28"/>
      <w:szCs w:val="28"/>
    </w:rPr>
  </w:style>
  <w:style w:type="paragraph" w:styleId="BalloonText">
    <w:name w:val="Balloon Text"/>
    <w:basedOn w:val="Normal"/>
    <w:link w:val="BalloonTextChar"/>
    <w:uiPriority w:val="99"/>
    <w:semiHidden/>
    <w:unhideWhenUsed/>
    <w:rsid w:val="4AF9E47B"/>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4AF9E47B"/>
    <w:rPr>
      <w:rFonts w:ascii="Segoe UI" w:hAnsi="Segoe UI" w:eastAsia="Calibri" w:cs="Segoe UI"/>
      <w:noProof w:val="0"/>
      <w:sz w:val="18"/>
      <w:szCs w:val="18"/>
      <w:lang w:val="en-GB"/>
    </w:rPr>
  </w:style>
  <w:style w:type="character" w:styleId="CommentReference">
    <w:name w:val="annotation reference"/>
    <w:basedOn w:val="DefaultParagraphFont"/>
    <w:uiPriority w:val="99"/>
    <w:semiHidden/>
    <w:unhideWhenUsed/>
    <w:rsid w:val="00C91285"/>
    <w:rPr>
      <w:sz w:val="16"/>
      <w:szCs w:val="16"/>
    </w:rPr>
  </w:style>
  <w:style w:type="paragraph" w:styleId="CommentText">
    <w:name w:val="annotation text"/>
    <w:basedOn w:val="Normal"/>
    <w:link w:val="CommentTextChar"/>
    <w:uiPriority w:val="99"/>
    <w:unhideWhenUsed/>
    <w:rsid w:val="4AF9E47B"/>
    <w:rPr>
      <w:sz w:val="20"/>
      <w:szCs w:val="20"/>
    </w:rPr>
  </w:style>
  <w:style w:type="character" w:styleId="CommentTextChar" w:customStyle="1">
    <w:name w:val="Comment Text Char"/>
    <w:basedOn w:val="DefaultParagraphFont"/>
    <w:link w:val="CommentText"/>
    <w:uiPriority w:val="99"/>
    <w:rsid w:val="4AF9E47B"/>
    <w:rPr>
      <w:rFonts w:ascii="Calibri" w:hAnsi="Calibri" w:eastAsia="Calibri"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AF9E47B"/>
    <w:rPr>
      <w:b/>
      <w:bCs/>
    </w:rPr>
  </w:style>
  <w:style w:type="character" w:styleId="CommentSubjectChar" w:customStyle="1">
    <w:name w:val="Comment Subject Char"/>
    <w:basedOn w:val="CommentTextChar"/>
    <w:link w:val="CommentSubject"/>
    <w:uiPriority w:val="99"/>
    <w:semiHidden/>
    <w:rsid w:val="4AF9E47B"/>
    <w:rPr>
      <w:rFonts w:ascii="Calibri" w:hAnsi="Calibri" w:eastAsia="Calibri" w:cs="Times New Roman"/>
      <w:b/>
      <w:bCs/>
      <w:noProof w:val="0"/>
      <w:sz w:val="20"/>
      <w:szCs w:val="20"/>
      <w:lang w:val="en-GB"/>
    </w:rPr>
  </w:style>
  <w:style w:type="paragraph" w:styleId="NoSpacing">
    <w:name w:val="No Spacing"/>
    <w:uiPriority w:val="1"/>
    <w:qFormat/>
    <w:rsid w:val="0006287D"/>
    <w:rPr>
      <w:rFonts w:ascii="Calibri" w:hAnsi="Calibri" w:eastAsia="Calibri" w:cs="Times New Roman"/>
      <w:sz w:val="22"/>
      <w:szCs w:val="22"/>
    </w:rPr>
  </w:style>
  <w:style w:type="paragraph" w:styleId="EndNoteBibliographyTitle" w:customStyle="1">
    <w:name w:val="EndNote Bibliography Title"/>
    <w:basedOn w:val="Normal"/>
    <w:link w:val="EndNoteBibliographyTitleChar"/>
    <w:uiPriority w:val="1"/>
    <w:rsid w:val="4AF9E47B"/>
    <w:pPr>
      <w:spacing w:after="0"/>
      <w:jc w:val="center"/>
    </w:pPr>
    <w:rPr>
      <w:rFonts w:cs="Calibri"/>
    </w:rPr>
  </w:style>
  <w:style w:type="paragraph" w:styleId="EndNoteBibliography" w:customStyle="1">
    <w:name w:val="EndNote Bibliography"/>
    <w:basedOn w:val="Normal"/>
    <w:uiPriority w:val="1"/>
    <w:rsid w:val="4AF9E47B"/>
    <w:rPr>
      <w:rFonts w:cs="Calibri"/>
    </w:rPr>
  </w:style>
  <w:style w:type="paragraph" w:styleId="p1" w:customStyle="1">
    <w:name w:val="p1"/>
    <w:basedOn w:val="Normal"/>
    <w:uiPriority w:val="1"/>
    <w:rsid w:val="4AF9E47B"/>
    <w:pPr>
      <w:spacing w:after="0"/>
    </w:pPr>
    <w:rPr>
      <w:rFonts w:ascii="Helvetica" w:hAnsi="Helvetica" w:eastAsiaTheme="minorEastAsia"/>
      <w:sz w:val="17"/>
      <w:szCs w:val="17"/>
    </w:rPr>
  </w:style>
  <w:style w:type="character" w:styleId="EndNoteBibliographyTitleChar" w:customStyle="1">
    <w:name w:val="EndNote Bibliography Title Char"/>
    <w:basedOn w:val="DefaultParagraphFont"/>
    <w:link w:val="EndNoteBibliographyTitle"/>
    <w:uiPriority w:val="1"/>
    <w:rsid w:val="4AF9E47B"/>
    <w:rPr>
      <w:rFonts w:ascii="Calibri" w:hAnsi="Calibri" w:eastAsia="Calibri" w:cs="Calibri"/>
      <w:noProof w:val="0"/>
      <w:sz w:val="22"/>
      <w:szCs w:val="22"/>
      <w:lang w:val="en-GB"/>
    </w:rPr>
  </w:style>
  <w:style w:type="paragraph" w:styleId="NormalWeb">
    <w:name w:val="Normal (Web)"/>
    <w:basedOn w:val="Normal"/>
    <w:uiPriority w:val="99"/>
    <w:unhideWhenUsed/>
    <w:rsid w:val="4AF9E47B"/>
    <w:pPr>
      <w:spacing w:beforeAutospacing="1" w:afterAutospacing="1"/>
    </w:pPr>
    <w:rPr>
      <w:rFonts w:ascii="Times New Roman" w:hAnsi="Times New Roman" w:eastAsia="Times New Roman"/>
      <w:sz w:val="24"/>
      <w:szCs w:val="24"/>
      <w:lang w:val="en-ZA"/>
    </w:rPr>
  </w:style>
  <w:style w:type="character" w:styleId="UnresolvedMention">
    <w:name w:val="Unresolved Mention"/>
    <w:basedOn w:val="DefaultParagraphFont"/>
    <w:uiPriority w:val="99"/>
    <w:rsid w:val="00AE376B"/>
    <w:rPr>
      <w:color w:val="605E5C"/>
      <w:shd w:val="clear" w:color="auto" w:fill="E1DFDD"/>
    </w:rPr>
  </w:style>
  <w:style w:type="character" w:styleId="PlaceholderText">
    <w:name w:val="Placeholder Text"/>
    <w:basedOn w:val="DefaultParagraphFont"/>
    <w:uiPriority w:val="99"/>
    <w:semiHidden/>
    <w:rsid w:val="00AE376B"/>
    <w:rPr>
      <w:color w:val="808080"/>
    </w:rPr>
  </w:style>
  <w:style w:type="character" w:styleId="ListParagraphChar" w:customStyle="1">
    <w:name w:val="List Paragraph Char"/>
    <w:basedOn w:val="DefaultParagraphFont"/>
    <w:link w:val="ListParagraph"/>
    <w:uiPriority w:val="34"/>
    <w:rsid w:val="4AF9E47B"/>
    <w:rPr>
      <w:rFonts w:ascii="Calibri" w:hAnsi="Calibri" w:eastAsia="Calibri" w:cs="Times New Roman"/>
      <w:noProof w:val="0"/>
      <w:sz w:val="22"/>
      <w:szCs w:val="22"/>
      <w:lang w:val="en-AU"/>
    </w:rPr>
  </w:style>
  <w:style w:type="paragraph" w:styleId="Revision">
    <w:name w:val="Revision"/>
    <w:hidden/>
    <w:uiPriority w:val="99"/>
    <w:semiHidden/>
    <w:rsid w:val="006D4CA9"/>
    <w:rPr>
      <w:rFonts w:ascii="Calibri" w:hAnsi="Calibri" w:eastAsia="Calibri" w:cs="Times New Roman"/>
      <w:sz w:val="22"/>
      <w:szCs w:val="22"/>
    </w:rPr>
  </w:style>
  <w:style w:type="character" w:styleId="FollowedHyperlink">
    <w:name w:val="FollowedHyperlink"/>
    <w:basedOn w:val="DefaultParagraphFont"/>
    <w:uiPriority w:val="99"/>
    <w:semiHidden/>
    <w:unhideWhenUsed/>
    <w:rsid w:val="00BD7754"/>
    <w:rPr>
      <w:color w:val="954F72" w:themeColor="followedHyperlink"/>
      <w:u w:val="single"/>
    </w:rPr>
  </w:style>
  <w:style w:type="paragraph" w:styleId="Bibliography">
    <w:name w:val="Bibliography"/>
    <w:basedOn w:val="Normal"/>
    <w:next w:val="Normal"/>
    <w:uiPriority w:val="37"/>
    <w:unhideWhenUsed/>
    <w:rsid w:val="4AF9E47B"/>
    <w:pPr>
      <w:tabs>
        <w:tab w:val="left" w:pos="260"/>
      </w:tabs>
      <w:spacing w:after="240"/>
      <w:ind w:left="264" w:hanging="264"/>
    </w:pPr>
  </w:style>
  <w:style w:type="paragraph" w:styleId="Title">
    <w:name w:val="Title"/>
    <w:basedOn w:val="Normal"/>
    <w:next w:val="Normal"/>
    <w:link w:val="TitleChar"/>
    <w:uiPriority w:val="10"/>
    <w:qFormat/>
    <w:rsid w:val="4AF9E47B"/>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4AF9E47B"/>
    <w:rPr>
      <w:rFonts w:eastAsiaTheme="minorEastAsia"/>
      <w:color w:val="5A5A5A"/>
    </w:rPr>
  </w:style>
  <w:style w:type="paragraph" w:styleId="Quote">
    <w:name w:val="Quote"/>
    <w:basedOn w:val="Normal"/>
    <w:next w:val="Normal"/>
    <w:link w:val="QuoteChar"/>
    <w:uiPriority w:val="29"/>
    <w:qFormat/>
    <w:rsid w:val="4AF9E47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AF9E47B"/>
    <w:pPr>
      <w:spacing w:before="360" w:after="360"/>
      <w:ind w:left="864" w:right="864"/>
      <w:jc w:val="center"/>
    </w:pPr>
    <w:rPr>
      <w:i/>
      <w:iCs/>
      <w:color w:val="5B9BD5" w:themeColor="accent1"/>
    </w:rPr>
  </w:style>
  <w:style w:type="character" w:styleId="Heading3Char" w:customStyle="1">
    <w:name w:val="Heading 3 Char"/>
    <w:basedOn w:val="DefaultParagraphFont"/>
    <w:link w:val="Heading3"/>
    <w:uiPriority w:val="9"/>
    <w:rsid w:val="4AF9E47B"/>
    <w:rPr>
      <w:rFonts w:asciiTheme="majorHAnsi" w:hAnsiTheme="majorHAnsi" w:eastAsiaTheme="majorEastAsia" w:cstheme="majorBidi"/>
      <w:noProof w:val="0"/>
      <w:color w:val="1F4D78"/>
      <w:sz w:val="24"/>
      <w:szCs w:val="24"/>
      <w:lang w:val="en-GB"/>
    </w:rPr>
  </w:style>
  <w:style w:type="character" w:styleId="Heading4Char" w:customStyle="1">
    <w:name w:val="Heading 4 Char"/>
    <w:basedOn w:val="DefaultParagraphFont"/>
    <w:link w:val="Heading4"/>
    <w:uiPriority w:val="9"/>
    <w:rsid w:val="4AF9E47B"/>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4AF9E47B"/>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4AF9E47B"/>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4AF9E47B"/>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4AF9E47B"/>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4AF9E47B"/>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4AF9E47B"/>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4AF9E47B"/>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4AF9E47B"/>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4AF9E47B"/>
    <w:rPr>
      <w:i/>
      <w:iCs/>
      <w:noProof w:val="0"/>
      <w:color w:val="5B9BD5" w:themeColor="accent1"/>
      <w:lang w:val="en-GB"/>
    </w:rPr>
  </w:style>
  <w:style w:type="paragraph" w:styleId="TOC3">
    <w:name w:val="toc 3"/>
    <w:basedOn w:val="Normal"/>
    <w:next w:val="Normal"/>
    <w:uiPriority w:val="39"/>
    <w:unhideWhenUsed/>
    <w:rsid w:val="4AF9E47B"/>
    <w:pPr>
      <w:spacing w:after="100"/>
      <w:ind w:left="440"/>
    </w:pPr>
  </w:style>
  <w:style w:type="paragraph" w:styleId="TOC4">
    <w:name w:val="toc 4"/>
    <w:basedOn w:val="Normal"/>
    <w:next w:val="Normal"/>
    <w:uiPriority w:val="39"/>
    <w:unhideWhenUsed/>
    <w:rsid w:val="4AF9E47B"/>
    <w:pPr>
      <w:spacing w:after="100"/>
      <w:ind w:left="660"/>
    </w:pPr>
  </w:style>
  <w:style w:type="paragraph" w:styleId="TOC5">
    <w:name w:val="toc 5"/>
    <w:basedOn w:val="Normal"/>
    <w:next w:val="Normal"/>
    <w:uiPriority w:val="39"/>
    <w:unhideWhenUsed/>
    <w:rsid w:val="4AF9E47B"/>
    <w:pPr>
      <w:spacing w:after="100"/>
      <w:ind w:left="880"/>
    </w:pPr>
  </w:style>
  <w:style w:type="paragraph" w:styleId="TOC6">
    <w:name w:val="toc 6"/>
    <w:basedOn w:val="Normal"/>
    <w:next w:val="Normal"/>
    <w:uiPriority w:val="39"/>
    <w:unhideWhenUsed/>
    <w:rsid w:val="4AF9E47B"/>
    <w:pPr>
      <w:spacing w:after="100"/>
      <w:ind w:left="1100"/>
    </w:pPr>
  </w:style>
  <w:style w:type="paragraph" w:styleId="TOC7">
    <w:name w:val="toc 7"/>
    <w:basedOn w:val="Normal"/>
    <w:next w:val="Normal"/>
    <w:uiPriority w:val="39"/>
    <w:unhideWhenUsed/>
    <w:rsid w:val="4AF9E47B"/>
    <w:pPr>
      <w:spacing w:after="100"/>
      <w:ind w:left="1320"/>
    </w:pPr>
  </w:style>
  <w:style w:type="paragraph" w:styleId="TOC8">
    <w:name w:val="toc 8"/>
    <w:basedOn w:val="Normal"/>
    <w:next w:val="Normal"/>
    <w:uiPriority w:val="39"/>
    <w:unhideWhenUsed/>
    <w:rsid w:val="4AF9E47B"/>
    <w:pPr>
      <w:spacing w:after="100"/>
      <w:ind w:left="1540"/>
    </w:pPr>
  </w:style>
  <w:style w:type="paragraph" w:styleId="TOC9">
    <w:name w:val="toc 9"/>
    <w:basedOn w:val="Normal"/>
    <w:next w:val="Normal"/>
    <w:uiPriority w:val="39"/>
    <w:unhideWhenUsed/>
    <w:rsid w:val="4AF9E47B"/>
    <w:pPr>
      <w:spacing w:after="100"/>
      <w:ind w:left="1760"/>
    </w:pPr>
  </w:style>
  <w:style w:type="paragraph" w:styleId="EndnoteText">
    <w:name w:val="endnote text"/>
    <w:basedOn w:val="Normal"/>
    <w:link w:val="EndnoteTextChar"/>
    <w:uiPriority w:val="99"/>
    <w:semiHidden/>
    <w:unhideWhenUsed/>
    <w:rsid w:val="4AF9E47B"/>
    <w:pPr>
      <w:spacing w:after="0"/>
    </w:pPr>
    <w:rPr>
      <w:sz w:val="20"/>
      <w:szCs w:val="20"/>
    </w:rPr>
  </w:style>
  <w:style w:type="character" w:styleId="EndnoteTextChar" w:customStyle="1">
    <w:name w:val="Endnote Text Char"/>
    <w:basedOn w:val="DefaultParagraphFont"/>
    <w:link w:val="EndnoteText"/>
    <w:uiPriority w:val="99"/>
    <w:semiHidden/>
    <w:rsid w:val="4AF9E47B"/>
    <w:rPr>
      <w:noProof w:val="0"/>
      <w:sz w:val="20"/>
      <w:szCs w:val="20"/>
      <w:lang w:val="en-GB"/>
    </w:rPr>
  </w:style>
  <w:style w:type="paragraph" w:styleId="Footer">
    <w:name w:val="footer"/>
    <w:basedOn w:val="Normal"/>
    <w:link w:val="FooterChar"/>
    <w:uiPriority w:val="99"/>
    <w:unhideWhenUsed/>
    <w:rsid w:val="4AF9E47B"/>
    <w:pPr>
      <w:tabs>
        <w:tab w:val="center" w:pos="4680"/>
        <w:tab w:val="right" w:pos="9360"/>
      </w:tabs>
      <w:spacing w:after="0"/>
    </w:pPr>
  </w:style>
  <w:style w:type="character" w:styleId="FooterChar" w:customStyle="1">
    <w:name w:val="Footer Char"/>
    <w:basedOn w:val="DefaultParagraphFont"/>
    <w:link w:val="Footer"/>
    <w:uiPriority w:val="99"/>
    <w:rsid w:val="4AF9E47B"/>
    <w:rPr>
      <w:noProof w:val="0"/>
      <w:lang w:val="en-GB"/>
    </w:rPr>
  </w:style>
  <w:style w:type="paragraph" w:styleId="FootnoteText">
    <w:name w:val="footnote text"/>
    <w:basedOn w:val="Normal"/>
    <w:link w:val="FootnoteTextChar"/>
    <w:uiPriority w:val="99"/>
    <w:semiHidden/>
    <w:unhideWhenUsed/>
    <w:rsid w:val="4AF9E47B"/>
    <w:pPr>
      <w:spacing w:after="0"/>
    </w:pPr>
    <w:rPr>
      <w:sz w:val="20"/>
      <w:szCs w:val="20"/>
    </w:rPr>
  </w:style>
  <w:style w:type="character" w:styleId="FootnoteTextChar" w:customStyle="1">
    <w:name w:val="Footnote Text Char"/>
    <w:basedOn w:val="DefaultParagraphFont"/>
    <w:link w:val="FootnoteText"/>
    <w:uiPriority w:val="99"/>
    <w:semiHidden/>
    <w:rsid w:val="4AF9E47B"/>
    <w:rPr>
      <w:noProof w:val="0"/>
      <w:sz w:val="20"/>
      <w:szCs w:val="20"/>
      <w:lang w:val="en-GB"/>
    </w:rPr>
  </w:style>
  <w:style w:type="paragraph" w:styleId="Header">
    <w:name w:val="header"/>
    <w:basedOn w:val="Normal"/>
    <w:link w:val="HeaderChar"/>
    <w:uiPriority w:val="99"/>
    <w:unhideWhenUsed/>
    <w:rsid w:val="4AF9E47B"/>
    <w:pPr>
      <w:tabs>
        <w:tab w:val="center" w:pos="4680"/>
        <w:tab w:val="right" w:pos="9360"/>
      </w:tabs>
      <w:spacing w:after="0"/>
    </w:pPr>
  </w:style>
  <w:style w:type="character" w:styleId="HeaderChar" w:customStyle="1">
    <w:name w:val="Header Char"/>
    <w:basedOn w:val="DefaultParagraphFont"/>
    <w:link w:val="Header"/>
    <w:uiPriority w:val="99"/>
    <w:rsid w:val="4AF9E47B"/>
    <w:rPr>
      <w:noProof w:val="0"/>
      <w:lang w:val="en-GB"/>
    </w:rPr>
  </w:style>
  <w:style w:type="numbering" w:styleId="CurrentList1" w:customStyle="1">
    <w:name w:val="Current List1"/>
    <w:uiPriority w:val="99"/>
    <w:rsid w:val="00D0522E"/>
    <w:pPr>
      <w:numPr>
        <w:numId w:val="10"/>
      </w:numPr>
    </w:pPr>
  </w:style>
  <w:style w:type="numbering" w:styleId="CurrentList2" w:customStyle="1">
    <w:name w:val="Current List2"/>
    <w:uiPriority w:val="99"/>
    <w:rsid w:val="005B19A5"/>
    <w:pPr>
      <w:numPr>
        <w:numId w:val="11"/>
      </w:numPr>
    </w:pPr>
  </w:style>
  <w:style w:type="numbering" w:styleId="CurrentList3" w:customStyle="1">
    <w:name w:val="Current List3"/>
    <w:uiPriority w:val="99"/>
    <w:rsid w:val="005B19A5"/>
    <w:pPr>
      <w:numPr>
        <w:numId w:val="12"/>
      </w:numPr>
    </w:pPr>
  </w:style>
  <w:style w:type="numbering" w:styleId="CurrentList4" w:customStyle="1">
    <w:name w:val="Current List4"/>
    <w:uiPriority w:val="99"/>
    <w:rsid w:val="005B19A5"/>
    <w:pPr>
      <w:numPr>
        <w:numId w:val="13"/>
      </w:numPr>
    </w:pPr>
  </w:style>
  <w:style w:type="character" w:styleId="PageNumber">
    <w:name w:val="page number"/>
    <w:basedOn w:val="DefaultParagraphFont"/>
    <w:uiPriority w:val="99"/>
    <w:semiHidden/>
    <w:unhideWhenUsed/>
    <w:rsid w:val="00E84EC3"/>
  </w:style>
  <w:style w:type="character" w:styleId="wacimagecontainer" w:customStyle="1">
    <w:name w:val="wacimagecontainer"/>
    <w:basedOn w:val="DefaultParagraphFont"/>
    <w:rsid w:val="00800AFF"/>
  </w:style>
  <w:style w:type="paragraph" w:styleId="paragraph" w:customStyle="1">
    <w:name w:val="paragraph"/>
    <w:basedOn w:val="Normal"/>
    <w:rsid w:val="0012488C"/>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12488C"/>
  </w:style>
  <w:style w:type="character" w:styleId="eop" w:customStyle="1">
    <w:name w:val="eop"/>
    <w:basedOn w:val="DefaultParagraphFont"/>
    <w:rsid w:val="0012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3034">
      <w:bodyDiv w:val="1"/>
      <w:marLeft w:val="0"/>
      <w:marRight w:val="0"/>
      <w:marTop w:val="0"/>
      <w:marBottom w:val="0"/>
      <w:divBdr>
        <w:top w:val="none" w:sz="0" w:space="0" w:color="auto"/>
        <w:left w:val="none" w:sz="0" w:space="0" w:color="auto"/>
        <w:bottom w:val="none" w:sz="0" w:space="0" w:color="auto"/>
        <w:right w:val="none" w:sz="0" w:space="0" w:color="auto"/>
      </w:divBdr>
    </w:div>
    <w:div w:id="1032534300">
      <w:bodyDiv w:val="1"/>
      <w:marLeft w:val="0"/>
      <w:marRight w:val="0"/>
      <w:marTop w:val="0"/>
      <w:marBottom w:val="0"/>
      <w:divBdr>
        <w:top w:val="none" w:sz="0" w:space="0" w:color="auto"/>
        <w:left w:val="none" w:sz="0" w:space="0" w:color="auto"/>
        <w:bottom w:val="none" w:sz="0" w:space="0" w:color="auto"/>
        <w:right w:val="none" w:sz="0" w:space="0" w:color="auto"/>
      </w:divBdr>
      <w:divsChild>
        <w:div w:id="279189309">
          <w:marLeft w:val="0"/>
          <w:marRight w:val="0"/>
          <w:marTop w:val="0"/>
          <w:marBottom w:val="0"/>
          <w:divBdr>
            <w:top w:val="none" w:sz="0" w:space="0" w:color="auto"/>
            <w:left w:val="none" w:sz="0" w:space="0" w:color="auto"/>
            <w:bottom w:val="none" w:sz="0" w:space="0" w:color="auto"/>
            <w:right w:val="none" w:sz="0" w:space="0" w:color="auto"/>
          </w:divBdr>
          <w:divsChild>
            <w:div w:id="1546722828">
              <w:marLeft w:val="0"/>
              <w:marRight w:val="0"/>
              <w:marTop w:val="0"/>
              <w:marBottom w:val="0"/>
              <w:divBdr>
                <w:top w:val="none" w:sz="0" w:space="0" w:color="auto"/>
                <w:left w:val="none" w:sz="0" w:space="0" w:color="auto"/>
                <w:bottom w:val="none" w:sz="0" w:space="0" w:color="auto"/>
                <w:right w:val="none" w:sz="0" w:space="0" w:color="auto"/>
              </w:divBdr>
            </w:div>
            <w:div w:id="1972664214">
              <w:marLeft w:val="0"/>
              <w:marRight w:val="0"/>
              <w:marTop w:val="0"/>
              <w:marBottom w:val="0"/>
              <w:divBdr>
                <w:top w:val="none" w:sz="0" w:space="0" w:color="auto"/>
                <w:left w:val="none" w:sz="0" w:space="0" w:color="auto"/>
                <w:bottom w:val="none" w:sz="0" w:space="0" w:color="auto"/>
                <w:right w:val="none" w:sz="0" w:space="0" w:color="auto"/>
              </w:divBdr>
            </w:div>
            <w:div w:id="1658727328">
              <w:marLeft w:val="0"/>
              <w:marRight w:val="0"/>
              <w:marTop w:val="0"/>
              <w:marBottom w:val="0"/>
              <w:divBdr>
                <w:top w:val="none" w:sz="0" w:space="0" w:color="auto"/>
                <w:left w:val="none" w:sz="0" w:space="0" w:color="auto"/>
                <w:bottom w:val="none" w:sz="0" w:space="0" w:color="auto"/>
                <w:right w:val="none" w:sz="0" w:space="0" w:color="auto"/>
              </w:divBdr>
            </w:div>
            <w:div w:id="1018777968">
              <w:marLeft w:val="0"/>
              <w:marRight w:val="0"/>
              <w:marTop w:val="0"/>
              <w:marBottom w:val="0"/>
              <w:divBdr>
                <w:top w:val="none" w:sz="0" w:space="0" w:color="auto"/>
                <w:left w:val="none" w:sz="0" w:space="0" w:color="auto"/>
                <w:bottom w:val="none" w:sz="0" w:space="0" w:color="auto"/>
                <w:right w:val="none" w:sz="0" w:space="0" w:color="auto"/>
              </w:divBdr>
            </w:div>
            <w:div w:id="1465655099">
              <w:marLeft w:val="0"/>
              <w:marRight w:val="0"/>
              <w:marTop w:val="0"/>
              <w:marBottom w:val="0"/>
              <w:divBdr>
                <w:top w:val="none" w:sz="0" w:space="0" w:color="auto"/>
                <w:left w:val="none" w:sz="0" w:space="0" w:color="auto"/>
                <w:bottom w:val="none" w:sz="0" w:space="0" w:color="auto"/>
                <w:right w:val="none" w:sz="0" w:space="0" w:color="auto"/>
              </w:divBdr>
            </w:div>
            <w:div w:id="797989829">
              <w:marLeft w:val="0"/>
              <w:marRight w:val="0"/>
              <w:marTop w:val="0"/>
              <w:marBottom w:val="0"/>
              <w:divBdr>
                <w:top w:val="none" w:sz="0" w:space="0" w:color="auto"/>
                <w:left w:val="none" w:sz="0" w:space="0" w:color="auto"/>
                <w:bottom w:val="none" w:sz="0" w:space="0" w:color="auto"/>
                <w:right w:val="none" w:sz="0" w:space="0" w:color="auto"/>
              </w:divBdr>
            </w:div>
            <w:div w:id="1010375149">
              <w:marLeft w:val="0"/>
              <w:marRight w:val="0"/>
              <w:marTop w:val="0"/>
              <w:marBottom w:val="0"/>
              <w:divBdr>
                <w:top w:val="none" w:sz="0" w:space="0" w:color="auto"/>
                <w:left w:val="none" w:sz="0" w:space="0" w:color="auto"/>
                <w:bottom w:val="none" w:sz="0" w:space="0" w:color="auto"/>
                <w:right w:val="none" w:sz="0" w:space="0" w:color="auto"/>
              </w:divBdr>
            </w:div>
            <w:div w:id="632519522">
              <w:marLeft w:val="0"/>
              <w:marRight w:val="0"/>
              <w:marTop w:val="0"/>
              <w:marBottom w:val="0"/>
              <w:divBdr>
                <w:top w:val="none" w:sz="0" w:space="0" w:color="auto"/>
                <w:left w:val="none" w:sz="0" w:space="0" w:color="auto"/>
                <w:bottom w:val="none" w:sz="0" w:space="0" w:color="auto"/>
                <w:right w:val="none" w:sz="0" w:space="0" w:color="auto"/>
              </w:divBdr>
            </w:div>
          </w:divsChild>
        </w:div>
        <w:div w:id="95904613">
          <w:marLeft w:val="0"/>
          <w:marRight w:val="0"/>
          <w:marTop w:val="0"/>
          <w:marBottom w:val="0"/>
          <w:divBdr>
            <w:top w:val="none" w:sz="0" w:space="0" w:color="auto"/>
            <w:left w:val="none" w:sz="0" w:space="0" w:color="auto"/>
            <w:bottom w:val="none" w:sz="0" w:space="0" w:color="auto"/>
            <w:right w:val="none" w:sz="0" w:space="0" w:color="auto"/>
          </w:divBdr>
          <w:divsChild>
            <w:div w:id="737559154">
              <w:marLeft w:val="0"/>
              <w:marRight w:val="0"/>
              <w:marTop w:val="0"/>
              <w:marBottom w:val="0"/>
              <w:divBdr>
                <w:top w:val="none" w:sz="0" w:space="0" w:color="auto"/>
                <w:left w:val="none" w:sz="0" w:space="0" w:color="auto"/>
                <w:bottom w:val="none" w:sz="0" w:space="0" w:color="auto"/>
                <w:right w:val="none" w:sz="0" w:space="0" w:color="auto"/>
              </w:divBdr>
            </w:div>
            <w:div w:id="630598827">
              <w:marLeft w:val="0"/>
              <w:marRight w:val="0"/>
              <w:marTop w:val="0"/>
              <w:marBottom w:val="0"/>
              <w:divBdr>
                <w:top w:val="none" w:sz="0" w:space="0" w:color="auto"/>
                <w:left w:val="none" w:sz="0" w:space="0" w:color="auto"/>
                <w:bottom w:val="none" w:sz="0" w:space="0" w:color="auto"/>
                <w:right w:val="none" w:sz="0" w:space="0" w:color="auto"/>
              </w:divBdr>
            </w:div>
            <w:div w:id="1112672982">
              <w:marLeft w:val="0"/>
              <w:marRight w:val="0"/>
              <w:marTop w:val="0"/>
              <w:marBottom w:val="0"/>
              <w:divBdr>
                <w:top w:val="none" w:sz="0" w:space="0" w:color="auto"/>
                <w:left w:val="none" w:sz="0" w:space="0" w:color="auto"/>
                <w:bottom w:val="none" w:sz="0" w:space="0" w:color="auto"/>
                <w:right w:val="none" w:sz="0" w:space="0" w:color="auto"/>
              </w:divBdr>
            </w:div>
            <w:div w:id="19552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5562">
      <w:bodyDiv w:val="1"/>
      <w:marLeft w:val="0"/>
      <w:marRight w:val="0"/>
      <w:marTop w:val="0"/>
      <w:marBottom w:val="0"/>
      <w:divBdr>
        <w:top w:val="none" w:sz="0" w:space="0" w:color="auto"/>
        <w:left w:val="none" w:sz="0" w:space="0" w:color="auto"/>
        <w:bottom w:val="none" w:sz="0" w:space="0" w:color="auto"/>
        <w:right w:val="none" w:sz="0" w:space="0" w:color="auto"/>
      </w:divBdr>
      <w:divsChild>
        <w:div w:id="1374576436">
          <w:marLeft w:val="0"/>
          <w:marRight w:val="0"/>
          <w:marTop w:val="0"/>
          <w:marBottom w:val="0"/>
          <w:divBdr>
            <w:top w:val="none" w:sz="0" w:space="0" w:color="auto"/>
            <w:left w:val="none" w:sz="0" w:space="0" w:color="auto"/>
            <w:bottom w:val="none" w:sz="0" w:space="0" w:color="auto"/>
            <w:right w:val="none" w:sz="0" w:space="0" w:color="auto"/>
          </w:divBdr>
          <w:divsChild>
            <w:div w:id="959454500">
              <w:marLeft w:val="0"/>
              <w:marRight w:val="0"/>
              <w:marTop w:val="0"/>
              <w:marBottom w:val="0"/>
              <w:divBdr>
                <w:top w:val="none" w:sz="0" w:space="0" w:color="auto"/>
                <w:left w:val="none" w:sz="0" w:space="0" w:color="auto"/>
                <w:bottom w:val="none" w:sz="0" w:space="0" w:color="auto"/>
                <w:right w:val="none" w:sz="0" w:space="0" w:color="auto"/>
              </w:divBdr>
            </w:div>
            <w:div w:id="1391685511">
              <w:marLeft w:val="0"/>
              <w:marRight w:val="0"/>
              <w:marTop w:val="0"/>
              <w:marBottom w:val="0"/>
              <w:divBdr>
                <w:top w:val="none" w:sz="0" w:space="0" w:color="auto"/>
                <w:left w:val="none" w:sz="0" w:space="0" w:color="auto"/>
                <w:bottom w:val="none" w:sz="0" w:space="0" w:color="auto"/>
                <w:right w:val="none" w:sz="0" w:space="0" w:color="auto"/>
              </w:divBdr>
            </w:div>
            <w:div w:id="1247155346">
              <w:marLeft w:val="0"/>
              <w:marRight w:val="0"/>
              <w:marTop w:val="0"/>
              <w:marBottom w:val="0"/>
              <w:divBdr>
                <w:top w:val="none" w:sz="0" w:space="0" w:color="auto"/>
                <w:left w:val="none" w:sz="0" w:space="0" w:color="auto"/>
                <w:bottom w:val="none" w:sz="0" w:space="0" w:color="auto"/>
                <w:right w:val="none" w:sz="0" w:space="0" w:color="auto"/>
              </w:divBdr>
            </w:div>
            <w:div w:id="940725429">
              <w:marLeft w:val="0"/>
              <w:marRight w:val="0"/>
              <w:marTop w:val="0"/>
              <w:marBottom w:val="0"/>
              <w:divBdr>
                <w:top w:val="none" w:sz="0" w:space="0" w:color="auto"/>
                <w:left w:val="none" w:sz="0" w:space="0" w:color="auto"/>
                <w:bottom w:val="none" w:sz="0" w:space="0" w:color="auto"/>
                <w:right w:val="none" w:sz="0" w:space="0" w:color="auto"/>
              </w:divBdr>
            </w:div>
            <w:div w:id="72362890">
              <w:marLeft w:val="0"/>
              <w:marRight w:val="0"/>
              <w:marTop w:val="0"/>
              <w:marBottom w:val="0"/>
              <w:divBdr>
                <w:top w:val="none" w:sz="0" w:space="0" w:color="auto"/>
                <w:left w:val="none" w:sz="0" w:space="0" w:color="auto"/>
                <w:bottom w:val="none" w:sz="0" w:space="0" w:color="auto"/>
                <w:right w:val="none" w:sz="0" w:space="0" w:color="auto"/>
              </w:divBdr>
            </w:div>
            <w:div w:id="1741245278">
              <w:marLeft w:val="0"/>
              <w:marRight w:val="0"/>
              <w:marTop w:val="0"/>
              <w:marBottom w:val="0"/>
              <w:divBdr>
                <w:top w:val="none" w:sz="0" w:space="0" w:color="auto"/>
                <w:left w:val="none" w:sz="0" w:space="0" w:color="auto"/>
                <w:bottom w:val="none" w:sz="0" w:space="0" w:color="auto"/>
                <w:right w:val="none" w:sz="0" w:space="0" w:color="auto"/>
              </w:divBdr>
            </w:div>
            <w:div w:id="99378608">
              <w:marLeft w:val="0"/>
              <w:marRight w:val="0"/>
              <w:marTop w:val="0"/>
              <w:marBottom w:val="0"/>
              <w:divBdr>
                <w:top w:val="none" w:sz="0" w:space="0" w:color="auto"/>
                <w:left w:val="none" w:sz="0" w:space="0" w:color="auto"/>
                <w:bottom w:val="none" w:sz="0" w:space="0" w:color="auto"/>
                <w:right w:val="none" w:sz="0" w:space="0" w:color="auto"/>
              </w:divBdr>
            </w:div>
            <w:div w:id="350837975">
              <w:marLeft w:val="0"/>
              <w:marRight w:val="0"/>
              <w:marTop w:val="0"/>
              <w:marBottom w:val="0"/>
              <w:divBdr>
                <w:top w:val="none" w:sz="0" w:space="0" w:color="auto"/>
                <w:left w:val="none" w:sz="0" w:space="0" w:color="auto"/>
                <w:bottom w:val="none" w:sz="0" w:space="0" w:color="auto"/>
                <w:right w:val="none" w:sz="0" w:space="0" w:color="auto"/>
              </w:divBdr>
            </w:div>
          </w:divsChild>
        </w:div>
        <w:div w:id="1589266342">
          <w:marLeft w:val="0"/>
          <w:marRight w:val="0"/>
          <w:marTop w:val="0"/>
          <w:marBottom w:val="0"/>
          <w:divBdr>
            <w:top w:val="none" w:sz="0" w:space="0" w:color="auto"/>
            <w:left w:val="none" w:sz="0" w:space="0" w:color="auto"/>
            <w:bottom w:val="none" w:sz="0" w:space="0" w:color="auto"/>
            <w:right w:val="none" w:sz="0" w:space="0" w:color="auto"/>
          </w:divBdr>
          <w:divsChild>
            <w:div w:id="159196755">
              <w:marLeft w:val="0"/>
              <w:marRight w:val="0"/>
              <w:marTop w:val="0"/>
              <w:marBottom w:val="0"/>
              <w:divBdr>
                <w:top w:val="none" w:sz="0" w:space="0" w:color="auto"/>
                <w:left w:val="none" w:sz="0" w:space="0" w:color="auto"/>
                <w:bottom w:val="none" w:sz="0" w:space="0" w:color="auto"/>
                <w:right w:val="none" w:sz="0" w:space="0" w:color="auto"/>
              </w:divBdr>
            </w:div>
            <w:div w:id="1571885660">
              <w:marLeft w:val="0"/>
              <w:marRight w:val="0"/>
              <w:marTop w:val="0"/>
              <w:marBottom w:val="0"/>
              <w:divBdr>
                <w:top w:val="none" w:sz="0" w:space="0" w:color="auto"/>
                <w:left w:val="none" w:sz="0" w:space="0" w:color="auto"/>
                <w:bottom w:val="none" w:sz="0" w:space="0" w:color="auto"/>
                <w:right w:val="none" w:sz="0" w:space="0" w:color="auto"/>
              </w:divBdr>
            </w:div>
            <w:div w:id="1463576867">
              <w:marLeft w:val="0"/>
              <w:marRight w:val="0"/>
              <w:marTop w:val="0"/>
              <w:marBottom w:val="0"/>
              <w:divBdr>
                <w:top w:val="none" w:sz="0" w:space="0" w:color="auto"/>
                <w:left w:val="none" w:sz="0" w:space="0" w:color="auto"/>
                <w:bottom w:val="none" w:sz="0" w:space="0" w:color="auto"/>
                <w:right w:val="none" w:sz="0" w:space="0" w:color="auto"/>
              </w:divBdr>
            </w:div>
            <w:div w:id="1175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5764">
      <w:bodyDiv w:val="1"/>
      <w:marLeft w:val="0"/>
      <w:marRight w:val="0"/>
      <w:marTop w:val="0"/>
      <w:marBottom w:val="0"/>
      <w:divBdr>
        <w:top w:val="none" w:sz="0" w:space="0" w:color="auto"/>
        <w:left w:val="none" w:sz="0" w:space="0" w:color="auto"/>
        <w:bottom w:val="none" w:sz="0" w:space="0" w:color="auto"/>
        <w:right w:val="none" w:sz="0" w:space="0" w:color="auto"/>
      </w:divBdr>
      <w:divsChild>
        <w:div w:id="1189221480">
          <w:marLeft w:val="0"/>
          <w:marRight w:val="0"/>
          <w:marTop w:val="0"/>
          <w:marBottom w:val="0"/>
          <w:divBdr>
            <w:top w:val="none" w:sz="0" w:space="0" w:color="auto"/>
            <w:left w:val="none" w:sz="0" w:space="0" w:color="auto"/>
            <w:bottom w:val="none" w:sz="0" w:space="0" w:color="auto"/>
            <w:right w:val="none" w:sz="0" w:space="0" w:color="auto"/>
          </w:divBdr>
          <w:divsChild>
            <w:div w:id="68970476">
              <w:marLeft w:val="0"/>
              <w:marRight w:val="0"/>
              <w:marTop w:val="0"/>
              <w:marBottom w:val="0"/>
              <w:divBdr>
                <w:top w:val="none" w:sz="0" w:space="0" w:color="auto"/>
                <w:left w:val="none" w:sz="0" w:space="0" w:color="auto"/>
                <w:bottom w:val="none" w:sz="0" w:space="0" w:color="auto"/>
                <w:right w:val="none" w:sz="0" w:space="0" w:color="auto"/>
              </w:divBdr>
            </w:div>
            <w:div w:id="407774421">
              <w:marLeft w:val="0"/>
              <w:marRight w:val="0"/>
              <w:marTop w:val="0"/>
              <w:marBottom w:val="0"/>
              <w:divBdr>
                <w:top w:val="none" w:sz="0" w:space="0" w:color="auto"/>
                <w:left w:val="none" w:sz="0" w:space="0" w:color="auto"/>
                <w:bottom w:val="none" w:sz="0" w:space="0" w:color="auto"/>
                <w:right w:val="none" w:sz="0" w:space="0" w:color="auto"/>
              </w:divBdr>
            </w:div>
            <w:div w:id="234780059">
              <w:marLeft w:val="0"/>
              <w:marRight w:val="0"/>
              <w:marTop w:val="0"/>
              <w:marBottom w:val="0"/>
              <w:divBdr>
                <w:top w:val="none" w:sz="0" w:space="0" w:color="auto"/>
                <w:left w:val="none" w:sz="0" w:space="0" w:color="auto"/>
                <w:bottom w:val="none" w:sz="0" w:space="0" w:color="auto"/>
                <w:right w:val="none" w:sz="0" w:space="0" w:color="auto"/>
              </w:divBdr>
            </w:div>
            <w:div w:id="1628660703">
              <w:marLeft w:val="0"/>
              <w:marRight w:val="0"/>
              <w:marTop w:val="0"/>
              <w:marBottom w:val="0"/>
              <w:divBdr>
                <w:top w:val="none" w:sz="0" w:space="0" w:color="auto"/>
                <w:left w:val="none" w:sz="0" w:space="0" w:color="auto"/>
                <w:bottom w:val="none" w:sz="0" w:space="0" w:color="auto"/>
                <w:right w:val="none" w:sz="0" w:space="0" w:color="auto"/>
              </w:divBdr>
            </w:div>
            <w:div w:id="1133017722">
              <w:marLeft w:val="0"/>
              <w:marRight w:val="0"/>
              <w:marTop w:val="0"/>
              <w:marBottom w:val="0"/>
              <w:divBdr>
                <w:top w:val="none" w:sz="0" w:space="0" w:color="auto"/>
                <w:left w:val="none" w:sz="0" w:space="0" w:color="auto"/>
                <w:bottom w:val="none" w:sz="0" w:space="0" w:color="auto"/>
                <w:right w:val="none" w:sz="0" w:space="0" w:color="auto"/>
              </w:divBdr>
            </w:div>
            <w:div w:id="957875380">
              <w:marLeft w:val="0"/>
              <w:marRight w:val="0"/>
              <w:marTop w:val="0"/>
              <w:marBottom w:val="0"/>
              <w:divBdr>
                <w:top w:val="none" w:sz="0" w:space="0" w:color="auto"/>
                <w:left w:val="none" w:sz="0" w:space="0" w:color="auto"/>
                <w:bottom w:val="none" w:sz="0" w:space="0" w:color="auto"/>
                <w:right w:val="none" w:sz="0" w:space="0" w:color="auto"/>
              </w:divBdr>
            </w:div>
            <w:div w:id="1875651449">
              <w:marLeft w:val="0"/>
              <w:marRight w:val="0"/>
              <w:marTop w:val="0"/>
              <w:marBottom w:val="0"/>
              <w:divBdr>
                <w:top w:val="none" w:sz="0" w:space="0" w:color="auto"/>
                <w:left w:val="none" w:sz="0" w:space="0" w:color="auto"/>
                <w:bottom w:val="none" w:sz="0" w:space="0" w:color="auto"/>
                <w:right w:val="none" w:sz="0" w:space="0" w:color="auto"/>
              </w:divBdr>
            </w:div>
            <w:div w:id="583877792">
              <w:marLeft w:val="0"/>
              <w:marRight w:val="0"/>
              <w:marTop w:val="0"/>
              <w:marBottom w:val="0"/>
              <w:divBdr>
                <w:top w:val="none" w:sz="0" w:space="0" w:color="auto"/>
                <w:left w:val="none" w:sz="0" w:space="0" w:color="auto"/>
                <w:bottom w:val="none" w:sz="0" w:space="0" w:color="auto"/>
                <w:right w:val="none" w:sz="0" w:space="0" w:color="auto"/>
              </w:divBdr>
            </w:div>
          </w:divsChild>
        </w:div>
        <w:div w:id="602491631">
          <w:marLeft w:val="0"/>
          <w:marRight w:val="0"/>
          <w:marTop w:val="0"/>
          <w:marBottom w:val="0"/>
          <w:divBdr>
            <w:top w:val="none" w:sz="0" w:space="0" w:color="auto"/>
            <w:left w:val="none" w:sz="0" w:space="0" w:color="auto"/>
            <w:bottom w:val="none" w:sz="0" w:space="0" w:color="auto"/>
            <w:right w:val="none" w:sz="0" w:space="0" w:color="auto"/>
          </w:divBdr>
          <w:divsChild>
            <w:div w:id="1748576096">
              <w:marLeft w:val="0"/>
              <w:marRight w:val="0"/>
              <w:marTop w:val="0"/>
              <w:marBottom w:val="0"/>
              <w:divBdr>
                <w:top w:val="none" w:sz="0" w:space="0" w:color="auto"/>
                <w:left w:val="none" w:sz="0" w:space="0" w:color="auto"/>
                <w:bottom w:val="none" w:sz="0" w:space="0" w:color="auto"/>
                <w:right w:val="none" w:sz="0" w:space="0" w:color="auto"/>
              </w:divBdr>
            </w:div>
            <w:div w:id="354963584">
              <w:marLeft w:val="0"/>
              <w:marRight w:val="0"/>
              <w:marTop w:val="0"/>
              <w:marBottom w:val="0"/>
              <w:divBdr>
                <w:top w:val="none" w:sz="0" w:space="0" w:color="auto"/>
                <w:left w:val="none" w:sz="0" w:space="0" w:color="auto"/>
                <w:bottom w:val="none" w:sz="0" w:space="0" w:color="auto"/>
                <w:right w:val="none" w:sz="0" w:space="0" w:color="auto"/>
              </w:divBdr>
            </w:div>
            <w:div w:id="1511410203">
              <w:marLeft w:val="0"/>
              <w:marRight w:val="0"/>
              <w:marTop w:val="0"/>
              <w:marBottom w:val="0"/>
              <w:divBdr>
                <w:top w:val="none" w:sz="0" w:space="0" w:color="auto"/>
                <w:left w:val="none" w:sz="0" w:space="0" w:color="auto"/>
                <w:bottom w:val="none" w:sz="0" w:space="0" w:color="auto"/>
                <w:right w:val="none" w:sz="0" w:space="0" w:color="auto"/>
              </w:divBdr>
            </w:div>
            <w:div w:id="3112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warn.org/working-together/sharing-data/data-usage" TargetMode="External" Id="rId14" /><Relationship Type="http://schemas.openxmlformats.org/officeDocument/2006/relationships/glossaryDocument" Target="glossary/document.xml" Id="Ra02d16043a8f41d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12ef6f-76c9-45b4-b3d0-a08f69f3e5e5}"/>
      </w:docPartPr>
      <w:docPartBody>
        <w:p w14:paraId="70A2B2B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3994a5-5608-40c3-95e4-a735fbd59589" xsi:nil="true"/>
    <lcf76f155ced4ddcb4097134ff3c332f xmlns="f62c9114-8302-4126-8ff4-a41e9b228b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B0EF826D2D44F802014F5E7B5E555" ma:contentTypeVersion="17" ma:contentTypeDescription="Create a new document." ma:contentTypeScope="" ma:versionID="2fd5242d6c4653aa4e1782ca280a1191">
  <xsd:schema xmlns:xsd="http://www.w3.org/2001/XMLSchema" xmlns:xs="http://www.w3.org/2001/XMLSchema" xmlns:p="http://schemas.microsoft.com/office/2006/metadata/properties" xmlns:ns2="f62c9114-8302-4126-8ff4-a41e9b228b22" xmlns:ns3="9370d0f9-8379-4769-8b09-69a589389ec9" xmlns:ns4="da3994a5-5608-40c3-95e4-a735fbd59589" targetNamespace="http://schemas.microsoft.com/office/2006/metadata/properties" ma:root="true" ma:fieldsID="cb2f693730516fae23782f5c12898c98" ns2:_="" ns3:_="" ns4:_="">
    <xsd:import namespace="f62c9114-8302-4126-8ff4-a41e9b228b22"/>
    <xsd:import namespace="9370d0f9-8379-4769-8b09-69a589389ec9"/>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9114-8302-4126-8ff4-a41e9b228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d0f9-8379-4769-8b09-69a589389e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910d9e-21bb-4012-ab49-792f4310233f}" ma:internalName="TaxCatchAll" ma:showField="CatchAllData" ma:web="9370d0f9-8379-4769-8b09-69a589389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44CA-F682-4729-80A1-4864A348DBC1}">
  <ds:schemaRefs>
    <ds:schemaRef ds:uri="http://schemas.microsoft.com/office/2006/metadata/properties"/>
    <ds:schemaRef ds:uri="http://schemas.microsoft.com/office/infopath/2007/PartnerControls"/>
    <ds:schemaRef ds:uri="da3994a5-5608-40c3-95e4-a735fbd59589"/>
    <ds:schemaRef ds:uri="f62c9114-8302-4126-8ff4-a41e9b228b22"/>
  </ds:schemaRefs>
</ds:datastoreItem>
</file>

<file path=customXml/itemProps2.xml><?xml version="1.0" encoding="utf-8"?>
<ds:datastoreItem xmlns:ds="http://schemas.openxmlformats.org/officeDocument/2006/customXml" ds:itemID="{DD798FE7-965F-4774-9334-2C5FC3E59B70}">
  <ds:schemaRefs>
    <ds:schemaRef ds:uri="http://schemas.microsoft.com/sharepoint/v3/contenttype/forms"/>
  </ds:schemaRefs>
</ds:datastoreItem>
</file>

<file path=customXml/itemProps3.xml><?xml version="1.0" encoding="utf-8"?>
<ds:datastoreItem xmlns:ds="http://schemas.openxmlformats.org/officeDocument/2006/customXml" ds:itemID="{36F70080-936B-4C5C-BC48-7539C9C1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9114-8302-4126-8ff4-a41e9b228b22"/>
    <ds:schemaRef ds:uri="9370d0f9-8379-4769-8b09-69a589389ec9"/>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9E95-DB0C-4467-A1A4-912F2E5A73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Rob Commons</dc:creator>
  <lastModifiedBy>Ihsan Fadilah</lastModifiedBy>
  <revision>4</revision>
  <lastPrinted>2023-05-23T07:11:00.0000000Z</lastPrinted>
  <dcterms:created xsi:type="dcterms:W3CDTF">2024-02-19T04:44:00.0000000Z</dcterms:created>
  <dcterms:modified xsi:type="dcterms:W3CDTF">2024-02-19T06:33:27.7822895Z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0x010100CDEB0EF826D2D44F802014F5E7B5E555</vt:lpwstr>
  </property>
  <property fmtid="{D5CDD505-2E9C-101B-9397-08002B2CF9AE}" pid="3" name="ZOTERO_PREF_1">
    <vt:lpwstr>&lt;data data-version="3" zotero-version="6.0.18"&gt;&lt;session id="fyT7eGws"/&gt;&lt;style id="http://www.zotero.org/styles/vancouver" locale="en-GB" hasBibliography="1" bibliographyStyleHasBeenSet="1"/&gt;&lt;prefs&gt;&lt;pref name="fieldType" value="Field"/&gt;&lt;/prefs&gt;&lt;/data&gt;</vt:lpwstr>
  </property>
  <property fmtid="{D5CDD505-2E9C-101B-9397-08002B2CF9AE}" pid="4" name="MediaServiceImageTags">
    <vt:lpwstr/>
  </property>
</Properties>
</file>